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BD5588" w:rsidRPr="00C42CF1" w:rsidP="000F6ECD" w14:paraId="4F077B05" w14:textId="77777777">
      <w:pPr>
        <w:pStyle w:val="Title"/>
        <w:spacing w:line="260" w:lineRule="exact"/>
        <w:jc w:val="both"/>
        <w:rPr>
          <w:sz w:val="24"/>
          <w:szCs w:val="24"/>
        </w:rPr>
      </w:pPr>
    </w:p>
    <w:p w:rsidR="00BD5588" w:rsidRPr="00C42CF1" w:rsidP="000F6ECD" w14:paraId="6D073DDD" w14:textId="77777777">
      <w:pPr>
        <w:shd w:val="clear" w:color="auto" w:fill="FFFFFF"/>
        <w:spacing w:line="260" w:lineRule="exact"/>
        <w:jc w:val="center"/>
        <w:rPr>
          <w:b/>
          <w:bCs/>
        </w:rPr>
      </w:pPr>
      <w:r w:rsidRPr="00C42CF1">
        <w:rPr>
          <w:b/>
          <w:bCs/>
        </w:rPr>
        <w:t>Tiesību akta projekta sākotnējās ietekmes novērtējuma ziņojums (anotācija)</w:t>
      </w:r>
    </w:p>
    <w:p w:rsidR="00BD5588" w:rsidRPr="00C42CF1" w:rsidP="000F6ECD" w14:paraId="49DD3953" w14:textId="77777777">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3257"/>
        <w:gridCol w:w="5804"/>
      </w:tblGrid>
      <w:tr w14:paraId="0FA5896D" w14:textId="77777777" w:rsidTr="0049491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061" w:type="dxa"/>
            <w:gridSpan w:val="2"/>
            <w:shd w:val="clear" w:color="auto" w:fill="FFFFFF"/>
            <w:vAlign w:val="center"/>
            <w:hideMark/>
          </w:tcPr>
          <w:p w:rsidR="00BD5588" w:rsidRPr="00C42CF1" w:rsidP="000F6ECD" w14:paraId="46ED10AD" w14:textId="77777777">
            <w:pPr>
              <w:jc w:val="center"/>
              <w:rPr>
                <w:b/>
                <w:iCs/>
                <w:lang w:eastAsia="en-US"/>
              </w:rPr>
            </w:pPr>
            <w:r w:rsidRPr="00C42CF1">
              <w:rPr>
                <w:b/>
                <w:iCs/>
                <w:lang w:eastAsia="en-US"/>
              </w:rPr>
              <w:t>Tiesību akta projekta anotācijas kopsavilkums</w:t>
            </w:r>
          </w:p>
        </w:tc>
      </w:tr>
      <w:tr w14:paraId="2D6F3926" w14:textId="77777777" w:rsidTr="0049491E">
        <w:tblPrEx>
          <w:tblW w:w="5000" w:type="pct"/>
          <w:shd w:val="clear" w:color="auto" w:fill="FFFFFF"/>
          <w:tblCellMar>
            <w:top w:w="28" w:type="dxa"/>
            <w:left w:w="28" w:type="dxa"/>
            <w:bottom w:w="28" w:type="dxa"/>
            <w:right w:w="28" w:type="dxa"/>
          </w:tblCellMar>
          <w:tblLook w:val="04A0"/>
        </w:tblPrEx>
        <w:trPr>
          <w:cantSplit/>
        </w:trPr>
        <w:tc>
          <w:tcPr>
            <w:tcW w:w="3257" w:type="dxa"/>
            <w:shd w:val="clear" w:color="auto" w:fill="FFFFFF"/>
            <w:hideMark/>
          </w:tcPr>
          <w:p w:rsidR="00BD5588" w:rsidRPr="00C42CF1" w:rsidP="000F6ECD" w14:paraId="5C95E680" w14:textId="77777777">
            <w:pPr>
              <w:rPr>
                <w:iCs/>
                <w:lang w:eastAsia="en-US"/>
              </w:rPr>
            </w:pPr>
            <w:r w:rsidRPr="00C42CF1">
              <w:rPr>
                <w:iCs/>
                <w:lang w:eastAsia="en-US"/>
              </w:rPr>
              <w:t>Mērķis, risinājums un projekta spēkā stāšanās laiks (500 zīmes bez atstarpēm)</w:t>
            </w:r>
          </w:p>
        </w:tc>
        <w:tc>
          <w:tcPr>
            <w:tcW w:w="5804" w:type="dxa"/>
            <w:shd w:val="clear" w:color="auto" w:fill="FFFFFF"/>
            <w:hideMark/>
          </w:tcPr>
          <w:p w:rsidR="00781412" w:rsidP="005D0738" w14:paraId="4579F868" w14:textId="47DA82F0">
            <w:pPr>
              <w:ind w:firstLine="544"/>
              <w:jc w:val="both"/>
            </w:pPr>
            <w:r w:rsidRPr="006E3759">
              <w:t>Mini</w:t>
            </w:r>
            <w:r>
              <w:t>stru kabineta noteikumu projekta</w:t>
            </w:r>
            <w:r w:rsidRPr="006E3759">
              <w:t xml:space="preserve"> “Noteikumi par meklēšanu un glābšanu jūrā Koordinācijas centra (MRCC) atbildības rajonā jūras un aviācijas</w:t>
            </w:r>
            <w:r>
              <w:t xml:space="preserve"> nelaimes</w:t>
            </w:r>
            <w:r w:rsidRPr="006E3759">
              <w:t xml:space="preserve"> gadījumā”</w:t>
            </w:r>
            <w:r w:rsidR="005D0738">
              <w:t xml:space="preserve"> (turpmāk – projekts)</w:t>
            </w:r>
            <w:r>
              <w:t xml:space="preserve"> mērķis ir</w:t>
            </w:r>
            <w:r w:rsidR="00E369CD">
              <w:t xml:space="preserve"> noteikt</w:t>
            </w:r>
            <w:r>
              <w:t>:</w:t>
            </w:r>
          </w:p>
          <w:p w:rsidR="00781412" w:rsidP="00781412" w14:paraId="2E0D1C35" w14:textId="47FFDFDD">
            <w:pPr>
              <w:pStyle w:val="ListParagraph"/>
              <w:numPr>
                <w:ilvl w:val="0"/>
                <w:numId w:val="9"/>
              </w:numPr>
              <w:ind w:left="-23" w:firstLine="567"/>
              <w:jc w:val="both"/>
            </w:pPr>
            <w:r w:rsidRPr="006E3759">
              <w:t xml:space="preserve">kārtību, kādā notiek </w:t>
            </w:r>
            <w:r w:rsidRPr="002B0DD2" w:rsidR="002B0DD2">
              <w:t>Nacionālo bruņoto spēku Jūras spēku vienības, kas veic krasta apsardzes funkcijas</w:t>
            </w:r>
            <w:r w:rsidR="002B0DD2">
              <w:t xml:space="preserve"> (Krasta apsardze) </w:t>
            </w:r>
            <w:r>
              <w:t>un citu institūciju sadarbība;</w:t>
            </w:r>
          </w:p>
          <w:p w:rsidR="00781412" w:rsidP="00781412" w14:paraId="0ACEBF2C" w14:textId="77777777">
            <w:pPr>
              <w:pStyle w:val="ListParagraph"/>
              <w:numPr>
                <w:ilvl w:val="0"/>
                <w:numId w:val="9"/>
              </w:numPr>
              <w:ind w:left="-23" w:firstLine="567"/>
              <w:jc w:val="both"/>
            </w:pPr>
            <w:r w:rsidRPr="006E3759">
              <w:t xml:space="preserve"> Jūras meklēšanas un koordinācijas centra (MRCC) un</w:t>
            </w:r>
            <w:r>
              <w:t xml:space="preserve"> tā </w:t>
            </w:r>
            <w:r>
              <w:t>apakšcentru</w:t>
            </w:r>
            <w:r>
              <w:t xml:space="preserve"> darbību;</w:t>
            </w:r>
          </w:p>
          <w:p w:rsidR="0049491E" w:rsidRPr="0049491E" w:rsidP="00781412" w14:paraId="7DB89669" w14:textId="43FE389D">
            <w:pPr>
              <w:pStyle w:val="ListParagraph"/>
              <w:numPr>
                <w:ilvl w:val="0"/>
                <w:numId w:val="9"/>
              </w:numPr>
              <w:ind w:left="-23" w:firstLine="567"/>
              <w:jc w:val="both"/>
            </w:pPr>
            <w:r w:rsidRPr="006E3759">
              <w:t>Latvijas Republikas meklēšanas un glābšanas atbildības rajonu.</w:t>
            </w:r>
          </w:p>
        </w:tc>
      </w:tr>
    </w:tbl>
    <w:p w:rsidR="00BD5588" w:rsidRPr="00C42CF1" w:rsidP="000F6ECD" w14:paraId="1EF03C26" w14:textId="77777777">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1BCB4DFD"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42CF1" w:rsidP="000F6ECD" w14:paraId="01405360" w14:textId="77777777">
            <w:pPr>
              <w:jc w:val="center"/>
              <w:rPr>
                <w:b/>
                <w:bCs/>
              </w:rPr>
            </w:pPr>
            <w:r w:rsidRPr="00C42CF1">
              <w:rPr>
                <w:b/>
                <w:bCs/>
              </w:rPr>
              <w:t>I. Tiesību akta projekta izstrādes nepieciešamība</w:t>
            </w:r>
          </w:p>
        </w:tc>
      </w:tr>
      <w:tr w14:paraId="3DE54D3E" w14:textId="77777777" w:rsidTr="006D2925">
        <w:tblPrEx>
          <w:tblW w:w="5000" w:type="pct"/>
          <w:tblCellMar>
            <w:top w:w="30" w:type="dxa"/>
            <w:left w:w="30" w:type="dxa"/>
            <w:bottom w:w="30" w:type="dxa"/>
            <w:right w:w="30" w:type="dxa"/>
          </w:tblCellMar>
          <w:tblLook w:val="04A0"/>
        </w:tblPrEx>
        <w:tc>
          <w:tcPr>
            <w:tcW w:w="311" w:type="pct"/>
            <w:hideMark/>
          </w:tcPr>
          <w:p w:rsidR="00BD5588" w:rsidRPr="00C42CF1" w:rsidP="000F6ECD" w14:paraId="617B9AA8" w14:textId="77777777">
            <w:pPr>
              <w:jc w:val="center"/>
            </w:pPr>
            <w:r w:rsidRPr="00C42CF1">
              <w:t>1.</w:t>
            </w:r>
          </w:p>
        </w:tc>
        <w:tc>
          <w:tcPr>
            <w:tcW w:w="1479" w:type="pct"/>
            <w:hideMark/>
          </w:tcPr>
          <w:p w:rsidR="00BD5588" w:rsidRPr="00C42CF1" w:rsidP="000F6ECD" w14:paraId="5DE909C4" w14:textId="77777777">
            <w:r w:rsidRPr="00C42CF1">
              <w:t>Pamatojums</w:t>
            </w:r>
          </w:p>
        </w:tc>
        <w:tc>
          <w:tcPr>
            <w:tcW w:w="3210" w:type="pct"/>
            <w:hideMark/>
          </w:tcPr>
          <w:p w:rsidR="0059593D" w:rsidP="0059593D" w14:paraId="432805E9" w14:textId="7D5731A8">
            <w:pPr>
              <w:ind w:firstLine="544"/>
              <w:jc w:val="both"/>
            </w:pPr>
            <w:r>
              <w:t>Saeima</w:t>
            </w:r>
            <w:r w:rsidRPr="006E3759" w:rsidR="003167A9">
              <w:t xml:space="preserve"> </w:t>
            </w:r>
            <w:r w:rsidRPr="006E3759">
              <w:t>2017.</w:t>
            </w:r>
            <w:r>
              <w:t> </w:t>
            </w:r>
            <w:r w:rsidRPr="006E3759">
              <w:t>gada 13.</w:t>
            </w:r>
            <w:r>
              <w:t> </w:t>
            </w:r>
            <w:r w:rsidRPr="006E3759">
              <w:t xml:space="preserve">jūlijā </w:t>
            </w:r>
            <w:r>
              <w:t>pieņēmusi</w:t>
            </w:r>
            <w:r w:rsidRPr="006E3759" w:rsidR="003167A9">
              <w:t xml:space="preserve"> grozījumi Jūrlietu pārvaldes un jūras drošības likumā, kas stājās spēkā 2017.</w:t>
            </w:r>
            <w:r w:rsidR="005D0738">
              <w:t> </w:t>
            </w:r>
            <w:r w:rsidRPr="006E3759" w:rsidR="003167A9">
              <w:t>gada 9.</w:t>
            </w:r>
            <w:r w:rsidR="005D0738">
              <w:t> </w:t>
            </w:r>
            <w:r w:rsidRPr="006E3759" w:rsidR="003167A9">
              <w:t xml:space="preserve">augustā. </w:t>
            </w:r>
          </w:p>
          <w:p w:rsidR="0059593D" w:rsidP="0059593D" w14:paraId="77CDA2EC" w14:textId="2D4F18A0">
            <w:pPr>
              <w:ind w:firstLine="544"/>
              <w:jc w:val="both"/>
            </w:pPr>
            <w:r w:rsidRPr="006E3759">
              <w:t>Ar šiem grozījumiem Jūrlietu pārvaldes un jūras drošības likuma 46.</w:t>
            </w:r>
            <w:r w:rsidR="005D0738">
              <w:t> </w:t>
            </w:r>
            <w:r w:rsidRPr="006E3759">
              <w:t>panta otrā daļa, uz kuras pamata tika izdoti Ministru kabineta 2003.</w:t>
            </w:r>
            <w:r w:rsidR="005D0738">
              <w:t> </w:t>
            </w:r>
            <w:r w:rsidRPr="006E3759">
              <w:t>gada 2.</w:t>
            </w:r>
            <w:r w:rsidR="005D0738">
              <w:t> </w:t>
            </w:r>
            <w:r w:rsidRPr="006E3759">
              <w:t>decembra noteikumi Nr.</w:t>
            </w:r>
            <w:r w:rsidR="005D0738">
              <w:t> </w:t>
            </w:r>
            <w:r w:rsidRPr="006E3759">
              <w:t>674 “Noteikumi par cilvēku meklēšanu un glābšanu aviācijas un jūras avārijas gadījumā”, ir izteikta jaunā redakcijā.</w:t>
            </w:r>
          </w:p>
          <w:p w:rsidR="003167A9" w:rsidRPr="00C42CF1" w:rsidP="005D0738" w14:paraId="5028878F" w14:textId="0CB5F3F3">
            <w:pPr>
              <w:ind w:firstLine="544"/>
              <w:jc w:val="both"/>
            </w:pPr>
            <w:r w:rsidRPr="006E3759">
              <w:t>Līdz ar jauna deleģējuma noteikšanu nepieciešams izdot jaunus Minis</w:t>
            </w:r>
            <w:r w:rsidR="005D0738">
              <w:t xml:space="preserve">tru kabineta noteikumus, kas </w:t>
            </w:r>
            <w:r w:rsidRPr="006E3759">
              <w:t>aizstās Ministru kabineta 2003.gada 2.decembra noteikumus Nr.674 “Noteikumi par cilvēku meklēšanu un glābšanu aviācijas un jūras avārijas gadījumā</w:t>
            </w:r>
            <w:r w:rsidR="005D0738">
              <w:t>”</w:t>
            </w:r>
            <w:r w:rsidRPr="006E3759">
              <w:t xml:space="preserve"> </w:t>
            </w:r>
            <w:r w:rsidR="005D0738">
              <w:t>(</w:t>
            </w:r>
            <w:r w:rsidRPr="006E3759">
              <w:t>zaudēja spēku 2017.gada 1.decembrī</w:t>
            </w:r>
            <w:r w:rsidR="005D0738">
              <w:t>)</w:t>
            </w:r>
            <w:r w:rsidRPr="006E3759">
              <w:t>.</w:t>
            </w:r>
          </w:p>
        </w:tc>
      </w:tr>
      <w:tr w14:paraId="309DEA4F" w14:textId="77777777" w:rsidTr="006D2925">
        <w:tblPrEx>
          <w:tblW w:w="5000" w:type="pct"/>
          <w:tblCellMar>
            <w:top w:w="30" w:type="dxa"/>
            <w:left w:w="30" w:type="dxa"/>
            <w:bottom w:w="30" w:type="dxa"/>
            <w:right w:w="30" w:type="dxa"/>
          </w:tblCellMar>
          <w:tblLook w:val="04A0"/>
        </w:tblPrEx>
        <w:tc>
          <w:tcPr>
            <w:tcW w:w="311" w:type="pct"/>
            <w:hideMark/>
          </w:tcPr>
          <w:p w:rsidR="00BD5588" w:rsidRPr="00C42CF1" w:rsidP="00737785" w14:paraId="20D12AA1" w14:textId="77777777">
            <w:pPr>
              <w:jc w:val="center"/>
            </w:pPr>
            <w:r w:rsidRPr="00C42CF1">
              <w:t>2.</w:t>
            </w:r>
          </w:p>
        </w:tc>
        <w:tc>
          <w:tcPr>
            <w:tcW w:w="1479" w:type="pct"/>
            <w:hideMark/>
          </w:tcPr>
          <w:p w:rsidR="00BD5588" w:rsidRPr="00C42CF1" w:rsidP="00737785" w14:paraId="135D1392" w14:textId="77777777">
            <w:r w:rsidRPr="00C42CF1">
              <w:t>Pašreizējā situācija un problēmas, kuru risināšanai tiesību akta projekts izstrādāts, tiesiskā regulējuma mērķis un būtība</w:t>
            </w:r>
          </w:p>
        </w:tc>
        <w:tc>
          <w:tcPr>
            <w:tcW w:w="3210" w:type="pct"/>
            <w:hideMark/>
          </w:tcPr>
          <w:p w:rsidR="0059593D" w:rsidP="0059593D" w14:paraId="67BE06D3" w14:textId="7D332D2B">
            <w:pPr>
              <w:ind w:firstLine="544"/>
              <w:jc w:val="both"/>
            </w:pPr>
            <w:r>
              <w:t>P</w:t>
            </w:r>
            <w:r w:rsidR="003167A9">
              <w:t xml:space="preserve">rojektā, </w:t>
            </w:r>
            <w:r w:rsidRPr="005D0738">
              <w:t xml:space="preserve">salīdzinājumā ar spēku zaudējušajiem </w:t>
            </w:r>
            <w:r w:rsidRPr="006E3759" w:rsidR="003167A9">
              <w:t>Ministru kabineta 2003.gada 2.decembra noteikumiem Nr.674 “Noteikumi par cilvēku meklēšanu un glābšanu aviācijas un jūras avārijas gadījumā”:</w:t>
            </w:r>
          </w:p>
          <w:p w:rsidR="0059593D" w:rsidP="00044AE3" w14:paraId="356F46A2" w14:textId="011DA78C">
            <w:pPr>
              <w:pStyle w:val="ListParagraph"/>
              <w:numPr>
                <w:ilvl w:val="0"/>
                <w:numId w:val="10"/>
              </w:numPr>
              <w:ind w:left="0" w:firstLine="544"/>
              <w:jc w:val="both"/>
            </w:pPr>
            <w:r w:rsidRPr="006E3759">
              <w:t>tiek paredzēts, ka Jūras meklēšanas un koordinācijas centra (MRCC) funkcijas veic Nacionālo bruņoto spēku Jūras spēku struktūrvienība</w:t>
            </w:r>
            <w:r w:rsidR="00044AE3">
              <w:t xml:space="preserve"> – Krasta apsardzes dienests, kurš</w:t>
            </w:r>
            <w:r w:rsidRPr="006E3759">
              <w:t xml:space="preserve"> tika izveidots, reorganizējot Krasta apsardzes kuģu flotili;</w:t>
            </w:r>
          </w:p>
          <w:p w:rsidR="0059593D" w:rsidP="0059593D" w14:paraId="401010DC" w14:textId="77777777">
            <w:pPr>
              <w:ind w:firstLine="544"/>
              <w:jc w:val="both"/>
            </w:pPr>
            <w:r w:rsidRPr="006E3759">
              <w:t xml:space="preserve"> 2)</w:t>
            </w:r>
            <w:r w:rsidRPr="006E3759">
              <w:tab/>
              <w:t xml:space="preserve">tiek paredzētas Latvijas Republikas meklēšanas un glābšanas atbildības rajona koordinātes, </w:t>
            </w:r>
            <w:r>
              <w:t xml:space="preserve">kā arī </w:t>
            </w:r>
            <w:r w:rsidRPr="006E3759">
              <w:t>definēts Jūras meklēšanas un glābšanas koordinācijas centra (MRCC) atbildības rajons;</w:t>
            </w:r>
          </w:p>
          <w:p w:rsidR="0059593D" w:rsidP="0059593D" w14:paraId="32911F40" w14:textId="78EEF494">
            <w:pPr>
              <w:ind w:firstLine="544"/>
              <w:jc w:val="both"/>
            </w:pPr>
            <w:r w:rsidRPr="006E3759">
              <w:t>3)</w:t>
            </w:r>
            <w:r w:rsidRPr="006E3759">
              <w:tab/>
              <w:t>tiek paredzēts, ka Jūras meklēšanas un glabāšanas koordi</w:t>
            </w:r>
            <w:r w:rsidR="00044AE3">
              <w:t>nācijas centra (MRCC) sadarbības</w:t>
            </w:r>
            <w:r w:rsidRPr="006E3759">
              <w:t xml:space="preserve"> ar šajos noteikumos uzskatītajām institūcijām kārtība tiek noteikta operatīvās rīcības plānā;</w:t>
            </w:r>
          </w:p>
          <w:p w:rsidR="0059593D" w:rsidP="0059593D" w14:paraId="13C58A38" w14:textId="2CBAD67C">
            <w:pPr>
              <w:ind w:firstLine="544"/>
              <w:jc w:val="both"/>
            </w:pPr>
            <w:r w:rsidRPr="006E3759">
              <w:t>4)</w:t>
            </w:r>
            <w:r w:rsidRPr="006E3759">
              <w:tab/>
            </w:r>
            <w:r w:rsidRPr="009B157B" w:rsidR="009B157B">
              <w:t>tiek papildināta operatīvās rīcības plānā norādāma informācija</w:t>
            </w:r>
            <w:r w:rsidRPr="006E3759">
              <w:t>;</w:t>
            </w:r>
            <w:r w:rsidR="00044AE3">
              <w:t xml:space="preserve"> </w:t>
            </w:r>
          </w:p>
          <w:p w:rsidR="0059593D" w:rsidP="00044AE3" w14:paraId="6221C428" w14:textId="2CECE1D3">
            <w:pPr>
              <w:ind w:firstLine="544"/>
              <w:jc w:val="both"/>
            </w:pPr>
            <w:r w:rsidRPr="006E3759">
              <w:t>5)</w:t>
            </w:r>
            <w:r w:rsidRPr="006E3759">
              <w:tab/>
              <w:t>tiek precizēts institūciju, ar kurām sadarbojas Jūras meklēšanas un glabāšanas koordinācijas centrs (MRCC), vadot un koordinējot cilvēku meklēšanas un glābša</w:t>
            </w:r>
            <w:r w:rsidR="00044AE3">
              <w:t>nas operācijas, uzskaitījums</w:t>
            </w:r>
            <w:r w:rsidRPr="006E3759">
              <w:t>;</w:t>
            </w:r>
          </w:p>
          <w:p w:rsidR="0059593D" w:rsidP="008E0093" w14:paraId="432B9385" w14:textId="733119CD">
            <w:pPr>
              <w:ind w:firstLine="544"/>
              <w:jc w:val="both"/>
            </w:pPr>
            <w:r>
              <w:t>6</w:t>
            </w:r>
            <w:r w:rsidRPr="006E3759" w:rsidR="003167A9">
              <w:t>)</w:t>
            </w:r>
            <w:r w:rsidRPr="006E3759" w:rsidR="003167A9">
              <w:tab/>
              <w:t xml:space="preserve">ņemot vērā, ka </w:t>
            </w:r>
            <w:r w:rsidR="009B157B">
              <w:t xml:space="preserve">atbilstoši </w:t>
            </w:r>
            <w:r w:rsidR="008E0093">
              <w:t xml:space="preserve">Ministru kabineta </w:t>
            </w:r>
            <w:r w:rsidR="008E0093">
              <w:t>2015.gada 30.jūnija</w:t>
            </w:r>
            <w:r w:rsidR="008E0093">
              <w:t xml:space="preserve"> </w:t>
            </w:r>
            <w:r w:rsidR="009B157B">
              <w:t>noteikumiem</w:t>
            </w:r>
            <w:r w:rsidR="008E0093">
              <w:t xml:space="preserve"> Nr.367 “</w:t>
            </w:r>
            <w:r w:rsidR="008E0093">
              <w:t>Nacionālais numerācijas plāns</w:t>
            </w:r>
            <w:r w:rsidR="008E0093">
              <w:t>”</w:t>
            </w:r>
            <w:r w:rsidRPr="006E3759" w:rsidR="003167A9">
              <w:t xml:space="preserve"> Jūras meklēšanas un glābšanas koordinācijas centram (MRCC) </w:t>
            </w:r>
            <w:r w:rsidR="009B157B">
              <w:t>ir piešķirts izsaukuma kods</w:t>
            </w:r>
            <w:r w:rsidRPr="006E3759" w:rsidR="003167A9">
              <w:t xml:space="preserve"> 115, tiek precizēta kārtība, kādā personām ir jāziņo par avārijām;</w:t>
            </w:r>
          </w:p>
          <w:p w:rsidR="0059593D" w:rsidP="0059593D" w14:paraId="4B41B556" w14:textId="65BE090C">
            <w:pPr>
              <w:ind w:firstLine="544"/>
              <w:jc w:val="both"/>
            </w:pPr>
            <w:r>
              <w:t>7</w:t>
            </w:r>
            <w:r w:rsidRPr="006E3759" w:rsidR="003167A9">
              <w:t>)</w:t>
            </w:r>
            <w:r w:rsidRPr="006E3759" w:rsidR="003167A9">
              <w:tab/>
              <w:t xml:space="preserve">tiek paredzēts, ka </w:t>
            </w:r>
            <w:r w:rsidR="00D87EDA">
              <w:t>liela mēroga glābšanas operācijās, kuru</w:t>
            </w:r>
            <w:r w:rsidRPr="006E3759" w:rsidR="003167A9">
              <w:t xml:space="preserve"> veikšanai nepieciešams piesaistīt papildu resursus, sasauc </w:t>
            </w:r>
            <w:r>
              <w:t>MRCC</w:t>
            </w:r>
            <w:r w:rsidRPr="006E3759" w:rsidR="003167A9">
              <w:t xml:space="preserve"> komiteju, kura darbojas saskaņā ar nolikumu</w:t>
            </w:r>
            <w:r>
              <w:t>, kas ir operatīvās rīcības plāna sastāvdaļa</w:t>
            </w:r>
            <w:r w:rsidRPr="006E3759" w:rsidR="003167A9">
              <w:t>;</w:t>
            </w:r>
          </w:p>
          <w:p w:rsidR="0059593D" w:rsidP="0059593D" w14:paraId="1981C33C" w14:textId="3F2997C6">
            <w:pPr>
              <w:ind w:firstLine="544"/>
              <w:jc w:val="both"/>
            </w:pPr>
            <w:r>
              <w:t>8</w:t>
            </w:r>
            <w:r w:rsidRPr="006E3759" w:rsidR="003167A9">
              <w:t>)</w:t>
            </w:r>
            <w:r w:rsidRPr="006E3759" w:rsidR="003167A9">
              <w:tab/>
              <w:t>netiek atrunāta Aviācijas meklēšanas un glābšanas centra (ARCC) darbība, jo to nosaka  Satiksmes ministrijas izstrādātie Ministru kabineta 2016.</w:t>
            </w:r>
            <w:r>
              <w:t> </w:t>
            </w:r>
            <w:r w:rsidRPr="006E3759" w:rsidR="003167A9">
              <w:t>gada 31.</w:t>
            </w:r>
            <w:r>
              <w:t> </w:t>
            </w:r>
            <w:r w:rsidRPr="006E3759" w:rsidR="003167A9">
              <w:t>maija noteikumi Nr.</w:t>
            </w:r>
            <w:r>
              <w:t> </w:t>
            </w:r>
            <w:r w:rsidRPr="006E3759" w:rsidR="003167A9">
              <w:t>331 “Noteikumi par pasākumiem, kas saistīti ar civilās aviācijas nelaimes gadījumiem” (stājās spēkā 2016.</w:t>
            </w:r>
            <w:r>
              <w:t> </w:t>
            </w:r>
            <w:r w:rsidRPr="006E3759" w:rsidR="003167A9">
              <w:t>gada 4.</w:t>
            </w:r>
            <w:r>
              <w:t> </w:t>
            </w:r>
            <w:r>
              <w:t>jūnijā);</w:t>
            </w:r>
          </w:p>
          <w:p w:rsidR="0059593D" w:rsidP="0059593D" w14:paraId="1212D9A3" w14:textId="75768CE7">
            <w:pPr>
              <w:ind w:firstLine="544"/>
              <w:jc w:val="both"/>
            </w:pPr>
            <w:r>
              <w:t>9</w:t>
            </w:r>
            <w:r w:rsidRPr="00647D4F" w:rsidR="00647D4F">
              <w:t>)</w:t>
            </w:r>
            <w:r w:rsidR="0048620F">
              <w:t xml:space="preserve"> </w:t>
            </w:r>
            <w:r w:rsidR="00D87EDA">
              <w:t xml:space="preserve">tiek </w:t>
            </w:r>
            <w:r w:rsidRPr="00647D4F" w:rsidR="003167A9">
              <w:t>paredz</w:t>
            </w:r>
            <w:r w:rsidR="00D87EDA">
              <w:t>ēts</w:t>
            </w:r>
            <w:r w:rsidRPr="00647D4F" w:rsidR="003167A9">
              <w:t xml:space="preserve"> iesaistīt cilvēku meklēšanas un glābšanas operācijā Latvijas Republikas meklēšanas un glābšanas dežurējošos gaisa kuģus (turpmāk — SAR gaisa kuģi), par to nekavējoties </w:t>
            </w:r>
            <w:r w:rsidR="00DA05F5">
              <w:t xml:space="preserve">informējot </w:t>
            </w:r>
            <w:r w:rsidRPr="006E3759" w:rsidR="00DA05F5">
              <w:t>Aviācija</w:t>
            </w:r>
            <w:r w:rsidR="00DA05F5">
              <w:t>s meklēšanas un glābšanas centru</w:t>
            </w:r>
            <w:r w:rsidRPr="006E3759" w:rsidR="00DA05F5">
              <w:t xml:space="preserve"> (ARCC)</w:t>
            </w:r>
            <w:r w:rsidRPr="00647D4F" w:rsidR="003167A9">
              <w:t>. SAR gaisa kuģa un apkalpes gatavība lidojumam ir līdz četrdesmit minūtēm darbalaikā un līdz st</w:t>
            </w:r>
            <w:r w:rsidR="009C3FA7">
              <w:t>undai un trīsdesmit minūtēm pārē</w:t>
            </w:r>
            <w:r w:rsidRPr="00647D4F" w:rsidR="003167A9">
              <w:t xml:space="preserve">jā laikā no brīža, kad </w:t>
            </w:r>
            <w:r w:rsidRPr="00DA05F5" w:rsidR="00DA05F5">
              <w:t>Jūras meklēšanas un glābšanas koordinācijas centr</w:t>
            </w:r>
            <w:r w:rsidR="00DA05F5">
              <w:t>s</w:t>
            </w:r>
            <w:r w:rsidRPr="00DA05F5" w:rsidR="00DA05F5">
              <w:t xml:space="preserve"> </w:t>
            </w:r>
            <w:r w:rsidRPr="00647D4F" w:rsidR="003167A9">
              <w:t xml:space="preserve">(MRCC) pirmo reizi sazinājies ar tiem. Piebilstams, ka </w:t>
            </w:r>
            <w:r w:rsidRPr="00647D4F" w:rsidR="00647D4F">
              <w:t xml:space="preserve">šāda darbalaika norāde ir saskaņā ar </w:t>
            </w:r>
            <w:r w:rsidRPr="00647D4F" w:rsidR="00647D4F">
              <w:rPr>
                <w:rFonts w:ascii="Source Sans Pro" w:hAnsi="Source Sans Pro"/>
              </w:rPr>
              <w:t>1979.</w:t>
            </w:r>
            <w:r w:rsidR="00DA05F5">
              <w:rPr>
                <w:rFonts w:ascii="Source Sans Pro" w:hAnsi="Source Sans Pro" w:hint="eastAsia"/>
              </w:rPr>
              <w:t> </w:t>
            </w:r>
            <w:r w:rsidRPr="00647D4F" w:rsidR="00647D4F">
              <w:rPr>
                <w:rFonts w:ascii="Source Sans Pro" w:hAnsi="Source Sans Pro"/>
              </w:rPr>
              <w:t>gada Starptautisko konvenciju par meklēšanu un glābšanu uz jūras (SAR 1979)</w:t>
            </w:r>
            <w:r>
              <w:t>;</w:t>
            </w:r>
          </w:p>
          <w:p w:rsidR="0059593D" w:rsidP="0059593D" w14:paraId="153CCE49" w14:textId="76D6080F">
            <w:pPr>
              <w:ind w:firstLine="544"/>
              <w:jc w:val="both"/>
            </w:pPr>
            <w:r>
              <w:t>10</w:t>
            </w:r>
            <w:r w:rsidR="00647D4F">
              <w:t>)</w:t>
            </w:r>
            <w:r w:rsidR="0048620F">
              <w:t xml:space="preserve"> </w:t>
            </w:r>
            <w:r>
              <w:t xml:space="preserve">tiek </w:t>
            </w:r>
            <w:r>
              <w:rPr>
                <w:color w:val="000000"/>
              </w:rPr>
              <w:t>noteikts</w:t>
            </w:r>
            <w:r w:rsidR="00647D4F">
              <w:rPr>
                <w:color w:val="000000"/>
              </w:rPr>
              <w:t>, ka</w:t>
            </w:r>
            <w:r w:rsidR="00A93FF3">
              <w:rPr>
                <w:color w:val="000000"/>
              </w:rPr>
              <w:t xml:space="preserve"> gaisa telpu </w:t>
            </w:r>
            <w:r w:rsidR="00A93FF3">
              <w:rPr>
                <w:color w:val="000000"/>
              </w:rPr>
              <w:t xml:space="preserve">virs teritorijām, kurās tiek veikti lidojumi avārijas un glābšanas darbu veikšanai, </w:t>
            </w:r>
            <w:r w:rsidR="00647D4F">
              <w:rPr>
                <w:color w:val="000000"/>
              </w:rPr>
              <w:t xml:space="preserve">izveido saskaņā ar </w:t>
            </w:r>
            <w:r w:rsidR="00A93FF3">
              <w:rPr>
                <w:color w:val="000000"/>
              </w:rPr>
              <w:t>sadarbības procedūru</w:t>
            </w:r>
            <w:r w:rsidR="00A93FF3">
              <w:rPr>
                <w:color w:val="000000"/>
              </w:rPr>
              <w:t xml:space="preserve">, kas noslēgta </w:t>
            </w:r>
            <w:r w:rsidR="00647D4F">
              <w:rPr>
                <w:color w:val="000000"/>
              </w:rPr>
              <w:t xml:space="preserve">starp </w:t>
            </w:r>
            <w:r w:rsidRPr="006E3759">
              <w:t>Jūras me</w:t>
            </w:r>
            <w:r>
              <w:t>klēšanas un koordinācijas centru</w:t>
            </w:r>
            <w:r w:rsidRPr="006E3759">
              <w:t xml:space="preserve"> </w:t>
            </w:r>
            <w:r w:rsidR="00647D4F">
              <w:rPr>
                <w:color w:val="000000"/>
              </w:rPr>
              <w:t xml:space="preserve">(MRCC), </w:t>
            </w:r>
            <w:r w:rsidRPr="006E3759">
              <w:t>Aviācija</w:t>
            </w:r>
            <w:r>
              <w:t>s meklēšanas un glābšanas centru</w:t>
            </w:r>
            <w:r w:rsidRPr="006E3759">
              <w:t xml:space="preserve"> (ARCC)</w:t>
            </w:r>
            <w:r w:rsidR="00647D4F">
              <w:rPr>
                <w:color w:val="000000"/>
              </w:rPr>
              <w:t xml:space="preserve"> un valsts akciju sabiedrību “Latvijas gaisa satiksme” </w:t>
            </w:r>
            <w:r w:rsidR="00A93FF3">
              <w:rPr>
                <w:color w:val="000000"/>
              </w:rPr>
              <w:t xml:space="preserve">un </w:t>
            </w:r>
            <w:r w:rsidR="00647D4F">
              <w:rPr>
                <w:color w:val="000000"/>
              </w:rPr>
              <w:t>apstiprināta valsts aģentūrā “Civilās aviācijas aģentūra”.</w:t>
            </w:r>
            <w:r w:rsidR="00A93FF3">
              <w:rPr>
                <w:color w:val="000000"/>
              </w:rPr>
              <w:t xml:space="preserve"> Šīs</w:t>
            </w:r>
            <w:r w:rsidR="00647D4F">
              <w:rPr>
                <w:color w:val="000000"/>
              </w:rPr>
              <w:t xml:space="preserve"> darbības tiek veiktas, balstoties uz principu “ja nepieciešams”, jo iespējami gadījumi, kad lidojumam ir standarta galapunkts (piemēram, iepriekš sagatavots helikoptera nosēšanās laukums).</w:t>
            </w:r>
          </w:p>
          <w:p w:rsidR="003167A9" w:rsidRPr="0059593D" w:rsidP="008E0093" w14:paraId="74C47A8A" w14:textId="2FF5C1F0">
            <w:pPr>
              <w:ind w:firstLine="544"/>
              <w:jc w:val="both"/>
            </w:pPr>
            <w:r w:rsidRPr="008E0093">
              <w:t>Piebilstams, ka attiecībā uz Jūras meklēšanas un koordinācijas centr</w:t>
            </w:r>
            <w:r>
              <w:t>a</w:t>
            </w:r>
            <w:r w:rsidRPr="008E0093">
              <w:t xml:space="preserve"> (MRCC) operatīvās rīcības plānu, ar kuru tiek noteikta  </w:t>
            </w:r>
            <w:r>
              <w:t>tā</w:t>
            </w:r>
            <w:r w:rsidRPr="008E0093">
              <w:t xml:space="preserve"> sadarbības kārtība ar noteikumos uzskaitītajām institūcijām, tiks noslēgta starpresoru vienošanās atbilstoši Valsts pārvaldes iekārtas likuma VII nodaļā noteiktajam.</w:t>
            </w:r>
          </w:p>
        </w:tc>
      </w:tr>
      <w:tr w14:paraId="0FCA28B4" w14:textId="77777777" w:rsidTr="00544914">
        <w:tblPrEx>
          <w:tblW w:w="5000" w:type="pct"/>
          <w:tblCellMar>
            <w:top w:w="30" w:type="dxa"/>
            <w:left w:w="30" w:type="dxa"/>
            <w:bottom w:w="30" w:type="dxa"/>
            <w:right w:w="30" w:type="dxa"/>
          </w:tblCellMar>
          <w:tblLook w:val="04A0"/>
        </w:tblPrEx>
        <w:tc>
          <w:tcPr>
            <w:tcW w:w="311" w:type="pct"/>
            <w:hideMark/>
          </w:tcPr>
          <w:p w:rsidR="00BD5588" w:rsidRPr="00C42CF1" w:rsidP="00737785" w14:paraId="35329B03" w14:textId="73A5362E">
            <w:pPr>
              <w:jc w:val="center"/>
            </w:pPr>
            <w:r w:rsidRPr="00C42CF1">
              <w:t>3.</w:t>
            </w:r>
          </w:p>
        </w:tc>
        <w:tc>
          <w:tcPr>
            <w:tcW w:w="1479" w:type="pct"/>
            <w:hideMark/>
          </w:tcPr>
          <w:p w:rsidR="00BD5588" w:rsidRPr="00C42CF1" w:rsidP="00737785" w14:paraId="71719269" w14:textId="77777777">
            <w:r w:rsidRPr="00C42CF1">
              <w:t>Projekta izstrādē iesaistītās institūcijas un publiskas personas kapitālsabiedrības</w:t>
            </w:r>
          </w:p>
        </w:tc>
        <w:tc>
          <w:tcPr>
            <w:tcW w:w="3210" w:type="pct"/>
            <w:hideMark/>
          </w:tcPr>
          <w:p w:rsidR="00544914" w:rsidRPr="00C42CF1" w:rsidP="00737785" w14:paraId="5D66B486" w14:textId="66DCFC46">
            <w:r>
              <w:t xml:space="preserve">Aizsardzības ministrija, </w:t>
            </w:r>
            <w:r w:rsidRPr="006E3759">
              <w:t>Nacionālie bruņotie spēki.</w:t>
            </w:r>
          </w:p>
          <w:p w:rsidR="00544914" w:rsidRPr="00C42CF1" w:rsidP="00737785" w14:paraId="48285272" w14:textId="77777777"/>
          <w:p w:rsidR="00544914" w:rsidRPr="00C42CF1" w:rsidP="00737785" w14:paraId="2D0ABB8F" w14:textId="335DE645"/>
        </w:tc>
      </w:tr>
      <w:tr w14:paraId="3098263E" w14:textId="77777777" w:rsidTr="00544914">
        <w:tblPrEx>
          <w:tblW w:w="5000" w:type="pct"/>
          <w:tblCellMar>
            <w:top w:w="30" w:type="dxa"/>
            <w:left w:w="30" w:type="dxa"/>
            <w:bottom w:w="30" w:type="dxa"/>
            <w:right w:w="30" w:type="dxa"/>
          </w:tblCellMar>
          <w:tblLook w:val="04A0"/>
        </w:tblPrEx>
        <w:tc>
          <w:tcPr>
            <w:tcW w:w="311" w:type="pct"/>
            <w:hideMark/>
          </w:tcPr>
          <w:p w:rsidR="00BD5588" w:rsidRPr="00C42CF1" w:rsidP="00737785" w14:paraId="59884D5E" w14:textId="77777777">
            <w:pPr>
              <w:jc w:val="center"/>
            </w:pPr>
            <w:r w:rsidRPr="00C42CF1">
              <w:t>4.</w:t>
            </w:r>
          </w:p>
        </w:tc>
        <w:tc>
          <w:tcPr>
            <w:tcW w:w="1479" w:type="pct"/>
            <w:hideMark/>
          </w:tcPr>
          <w:p w:rsidR="00BD5588" w:rsidRPr="00C42CF1" w:rsidP="00737785" w14:paraId="5D0CF007" w14:textId="77777777">
            <w:r w:rsidRPr="00C42CF1">
              <w:t>Cita informācija</w:t>
            </w:r>
          </w:p>
        </w:tc>
        <w:tc>
          <w:tcPr>
            <w:tcW w:w="3210" w:type="pct"/>
            <w:hideMark/>
          </w:tcPr>
          <w:p w:rsidR="003167A9" w:rsidRPr="00C42CF1" w:rsidP="003167A9" w14:paraId="5461376D" w14:textId="717CB7CF">
            <w:pPr>
              <w:jc w:val="both"/>
            </w:pPr>
            <w:r>
              <w:t>F</w:t>
            </w:r>
            <w:r w:rsidRPr="008711E6">
              <w:t>inansējumu cilvēku meklēšanas un glābšanas operāciju veikšanai Jūras meklēšanas un glabāšanas koordinācijas centra (MRCC) atbildības rajonā</w:t>
            </w:r>
            <w:r w:rsidRPr="006E3759">
              <w:t xml:space="preserve"> Aizsardzības ministrija 2018.gadā un turpmākajos gados nodrošinās atbilstoši tai piešķirtajiem valsts budžeta līdzekļiem no budžeta programmas 22.00.00 “Nacionālie bruņotie spēki” apakšprogrammas 22.12.00 </w:t>
            </w:r>
            <w:r w:rsidRPr="006E3759">
              <w:rPr>
                <w:rFonts w:ascii="Source Sans Pro" w:hAnsi="Source Sans Pro"/>
              </w:rPr>
              <w:t>"Nacionālo bruņoto spēku uzturēšana"</w:t>
            </w:r>
            <w:r>
              <w:rPr>
                <w:rFonts w:ascii="Source Sans Pro" w:hAnsi="Source Sans Pro"/>
              </w:rPr>
              <w:t>.</w:t>
            </w:r>
          </w:p>
        </w:tc>
      </w:tr>
    </w:tbl>
    <w:p w:rsidR="00BD5588" w:rsidRPr="00C42CF1" w:rsidP="00BD5588" w14:paraId="57FFE39A" w14:textId="77777777">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2BEC046F" w14:textId="77777777" w:rsidTr="0073778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C42CF1" w:rsidP="00737785" w14:paraId="0ECB64F0" w14:textId="77777777">
            <w:pPr>
              <w:jc w:val="center"/>
              <w:rPr>
                <w:b/>
                <w:bCs/>
              </w:rPr>
            </w:pPr>
            <w:r w:rsidRPr="00C42CF1">
              <w:rPr>
                <w:b/>
                <w:bCs/>
              </w:rPr>
              <w:t>II. Tiesību akta projekta ietekme uz sabiedrību, tautsaimniecības attīstību un administratīvo slogu</w:t>
            </w:r>
          </w:p>
        </w:tc>
      </w:tr>
      <w:tr w14:paraId="5E29B02F" w14:textId="77777777" w:rsidTr="0009692F">
        <w:tblPrEx>
          <w:tblW w:w="5000" w:type="pct"/>
          <w:tblCellMar>
            <w:top w:w="30" w:type="dxa"/>
            <w:left w:w="30" w:type="dxa"/>
            <w:bottom w:w="30" w:type="dxa"/>
            <w:right w:w="30" w:type="dxa"/>
          </w:tblCellMar>
          <w:tblLook w:val="04A0"/>
        </w:tblPrEx>
        <w:tc>
          <w:tcPr>
            <w:tcW w:w="311" w:type="pct"/>
            <w:hideMark/>
          </w:tcPr>
          <w:p w:rsidR="00BD5588" w:rsidRPr="00C42CF1" w:rsidP="00737785" w14:paraId="1872E779" w14:textId="77777777">
            <w:pPr>
              <w:jc w:val="center"/>
            </w:pPr>
            <w:r w:rsidRPr="00C42CF1">
              <w:t>1.</w:t>
            </w:r>
          </w:p>
        </w:tc>
        <w:tc>
          <w:tcPr>
            <w:tcW w:w="1479" w:type="pct"/>
            <w:hideMark/>
          </w:tcPr>
          <w:p w:rsidR="00BD5588" w:rsidRPr="00C42CF1" w:rsidP="00737785" w14:paraId="0B26DBEF" w14:textId="77777777">
            <w:r w:rsidRPr="00C42CF1">
              <w:t>Sabiedrības mērķgrupas, kuras tiesiskais regulējums ietekmē vai varētu ietekmēt</w:t>
            </w:r>
          </w:p>
        </w:tc>
        <w:tc>
          <w:tcPr>
            <w:tcW w:w="3210" w:type="pct"/>
            <w:hideMark/>
          </w:tcPr>
          <w:p w:rsidR="003167A9" w:rsidP="003167A9" w14:paraId="11F18EB4" w14:textId="77777777">
            <w:pPr>
              <w:jc w:val="both"/>
            </w:pPr>
            <w:r w:rsidRPr="006E3759">
              <w:t>1. Jūras izmantotāji, amatpersonas, juridiskās personas un fiziskās personas, kas iesaistītas cilvēku mek</w:t>
            </w:r>
            <w:r>
              <w:t>lēšanas un glābšanas operācijās.</w:t>
            </w:r>
          </w:p>
          <w:p w:rsidR="0009692F" w:rsidP="003167A9" w14:paraId="5956F8BB" w14:textId="77777777">
            <w:pPr>
              <w:jc w:val="both"/>
            </w:pPr>
            <w:r w:rsidRPr="006E3759">
              <w:t>2. Personas, kuru rīcībā ir ziņas par avāriju Jūras meklēšanas un koordinācijas centra (MRCC) atbildības rajonā.</w:t>
            </w:r>
          </w:p>
          <w:p w:rsidR="003167A9" w:rsidRPr="00C42CF1" w:rsidP="003167A9" w14:paraId="081664E7" w14:textId="5321F8EA">
            <w:pPr>
              <w:jc w:val="both"/>
            </w:pPr>
          </w:p>
        </w:tc>
      </w:tr>
      <w:tr w14:paraId="53792CAD" w14:textId="77777777" w:rsidTr="0009692F">
        <w:tblPrEx>
          <w:tblW w:w="5000" w:type="pct"/>
          <w:tblCellMar>
            <w:top w:w="30" w:type="dxa"/>
            <w:left w:w="30" w:type="dxa"/>
            <w:bottom w:w="30" w:type="dxa"/>
            <w:right w:w="30" w:type="dxa"/>
          </w:tblCellMar>
          <w:tblLook w:val="04A0"/>
        </w:tblPrEx>
        <w:tc>
          <w:tcPr>
            <w:tcW w:w="311" w:type="pct"/>
            <w:hideMark/>
          </w:tcPr>
          <w:p w:rsidR="00BD5588" w:rsidRPr="00C42CF1" w:rsidP="00737785" w14:paraId="0058D2BF" w14:textId="1B5D155E">
            <w:pPr>
              <w:jc w:val="center"/>
            </w:pPr>
            <w:r w:rsidRPr="00C42CF1">
              <w:t>2.</w:t>
            </w:r>
          </w:p>
        </w:tc>
        <w:tc>
          <w:tcPr>
            <w:tcW w:w="1479" w:type="pct"/>
            <w:hideMark/>
          </w:tcPr>
          <w:p w:rsidR="00BD5588" w:rsidRPr="00C42CF1" w:rsidP="00737785" w14:paraId="6A998A6E" w14:textId="77777777">
            <w:r w:rsidRPr="00C42CF1">
              <w:t>Tiesiskā regulējuma ietekme uz tautsaimniecību un administratīvo slogu</w:t>
            </w:r>
          </w:p>
        </w:tc>
        <w:tc>
          <w:tcPr>
            <w:tcW w:w="3210" w:type="pct"/>
            <w:hideMark/>
          </w:tcPr>
          <w:p w:rsidR="003D4716" w:rsidP="003167A9" w14:paraId="7A72F31D" w14:textId="51228815">
            <w:pPr>
              <w:jc w:val="both"/>
            </w:pPr>
            <w:r w:rsidRPr="006E3759">
              <w:t>Ar projektu tiek papildināta operatīvās rīcības plānā norādāma informācija. Turpmāk tajā būs nepieciešams   iekļaut ziņas par metodēm palīdzības sniegšanai gaisa kuģiem, kas atrodas briesmās un kuru apkalpe ir spiesta nolaisties uz virsūdens kuģa vai ūdens.</w:t>
            </w:r>
          </w:p>
          <w:p w:rsidR="003167A9" w:rsidRPr="00C42CF1" w:rsidP="003167A9" w14:paraId="1A8ED796" w14:textId="6F03A8E3">
            <w:pPr>
              <w:jc w:val="both"/>
              <w:rPr>
                <w:highlight w:val="yellow"/>
              </w:rPr>
            </w:pPr>
          </w:p>
        </w:tc>
      </w:tr>
      <w:tr w14:paraId="31C8CAAE" w14:textId="77777777" w:rsidTr="0009692F">
        <w:tblPrEx>
          <w:tblW w:w="5000" w:type="pct"/>
          <w:tblCellMar>
            <w:top w:w="30" w:type="dxa"/>
            <w:left w:w="30" w:type="dxa"/>
            <w:bottom w:w="30" w:type="dxa"/>
            <w:right w:w="30" w:type="dxa"/>
          </w:tblCellMar>
          <w:tblLook w:val="04A0"/>
        </w:tblPrEx>
        <w:tc>
          <w:tcPr>
            <w:tcW w:w="311" w:type="pct"/>
            <w:hideMark/>
          </w:tcPr>
          <w:p w:rsidR="00BD5588" w:rsidRPr="00C42CF1" w:rsidP="00737785" w14:paraId="6AB3C934" w14:textId="77777777">
            <w:pPr>
              <w:jc w:val="center"/>
            </w:pPr>
            <w:r w:rsidRPr="00C42CF1">
              <w:t>3.</w:t>
            </w:r>
          </w:p>
        </w:tc>
        <w:tc>
          <w:tcPr>
            <w:tcW w:w="1479" w:type="pct"/>
            <w:hideMark/>
          </w:tcPr>
          <w:p w:rsidR="00BD5588" w:rsidRPr="00C42CF1" w:rsidP="00737785" w14:paraId="0E3AC05D" w14:textId="77777777">
            <w:r w:rsidRPr="00C42CF1">
              <w:t>Administratīvo izmaksu monetārs novērtējums</w:t>
            </w:r>
          </w:p>
        </w:tc>
        <w:tc>
          <w:tcPr>
            <w:tcW w:w="3210" w:type="pct"/>
            <w:hideMark/>
          </w:tcPr>
          <w:p w:rsidR="003167A9" w:rsidRPr="00C42CF1" w:rsidP="003167A9" w14:paraId="7EF2558C" w14:textId="75DCE2C7">
            <w:pPr>
              <w:jc w:val="both"/>
            </w:pPr>
            <w:r>
              <w:t>Projekts šo jomu neskar.</w:t>
            </w:r>
          </w:p>
        </w:tc>
      </w:tr>
      <w:tr w14:paraId="21694A1A"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7F14418F" w14:textId="77777777">
            <w:pPr>
              <w:jc w:val="center"/>
            </w:pPr>
            <w:r w:rsidRPr="00C42CF1">
              <w:t>4.</w:t>
            </w:r>
          </w:p>
        </w:tc>
        <w:tc>
          <w:tcPr>
            <w:tcW w:w="1479" w:type="pct"/>
            <w:hideMark/>
          </w:tcPr>
          <w:p w:rsidR="00BD5588" w:rsidRPr="00C42CF1" w:rsidP="00737785" w14:paraId="47240EAC" w14:textId="77777777">
            <w:r w:rsidRPr="00C42CF1">
              <w:t>Atbilstības izmaksu monetārs novērtējums</w:t>
            </w:r>
          </w:p>
        </w:tc>
        <w:tc>
          <w:tcPr>
            <w:tcW w:w="3210" w:type="pct"/>
            <w:hideMark/>
          </w:tcPr>
          <w:p w:rsidR="00061A2B" w:rsidRPr="00C42CF1" w:rsidP="003167A9" w14:paraId="4D53C2E9" w14:textId="4A924D0A">
            <w:pPr>
              <w:jc w:val="both"/>
              <w:rPr>
                <w:i/>
              </w:rPr>
            </w:pPr>
            <w:r>
              <w:t>Projekts šo jomu neskar.</w:t>
            </w:r>
          </w:p>
        </w:tc>
      </w:tr>
      <w:tr w14:paraId="70469C20" w14:textId="77777777" w:rsidTr="006E22EB">
        <w:tblPrEx>
          <w:tblW w:w="5000" w:type="pct"/>
          <w:tblCellMar>
            <w:top w:w="30" w:type="dxa"/>
            <w:left w:w="30" w:type="dxa"/>
            <w:bottom w:w="30" w:type="dxa"/>
            <w:right w:w="30" w:type="dxa"/>
          </w:tblCellMar>
          <w:tblLook w:val="04A0"/>
        </w:tblPrEx>
        <w:tc>
          <w:tcPr>
            <w:tcW w:w="311" w:type="pct"/>
            <w:hideMark/>
          </w:tcPr>
          <w:p w:rsidR="00BD5588" w:rsidRPr="00C42CF1" w:rsidP="00737785" w14:paraId="5F4C78AC" w14:textId="77777777">
            <w:pPr>
              <w:jc w:val="center"/>
            </w:pPr>
            <w:r w:rsidRPr="00C42CF1">
              <w:t>5.</w:t>
            </w:r>
          </w:p>
        </w:tc>
        <w:tc>
          <w:tcPr>
            <w:tcW w:w="1479" w:type="pct"/>
            <w:hideMark/>
          </w:tcPr>
          <w:p w:rsidR="00BD5588" w:rsidRPr="00C42CF1" w:rsidP="00737785" w14:paraId="13BE454A" w14:textId="77777777">
            <w:r w:rsidRPr="00C42CF1">
              <w:t>Cita informācija</w:t>
            </w:r>
          </w:p>
        </w:tc>
        <w:tc>
          <w:tcPr>
            <w:tcW w:w="3210" w:type="pct"/>
            <w:hideMark/>
          </w:tcPr>
          <w:p w:rsidR="00C202AC" w:rsidP="003167A9" w14:paraId="1DBFC976" w14:textId="1CD33E6D">
            <w:pPr>
              <w:jc w:val="both"/>
            </w:pPr>
            <w:r>
              <w:t>P</w:t>
            </w:r>
            <w:r w:rsidRPr="006E3759" w:rsidR="003167A9">
              <w:t>rojektā tiek saglabāts Ministru kabineta 2003.gada 2.decembra noteikumi Nr.674 “Noteikumi par cilvēku meklēšanu un glābšanu aviācijas un jūras avārijas gadījumā” 16.punktā paredzētais pienākums jebkurai personai,  kuras rīcībā ir ziņas par avāriju Jūras meklēšanas un koordinācijas centra (MRCC) atbildības rajonā, ziņot par to atbildīgajām iestādēm.</w:t>
            </w:r>
          </w:p>
          <w:p w:rsidR="000D7BEA" w:rsidRPr="00C42CF1" w:rsidP="003167A9" w14:paraId="0574E374" w14:textId="73F51F54">
            <w:pPr>
              <w:jc w:val="both"/>
            </w:pPr>
          </w:p>
        </w:tc>
      </w:tr>
    </w:tbl>
    <w:p w:rsidR="00BD5588" w:rsidRPr="00C42CF1" w14:paraId="29953CF7" w14:textId="59D1C6CB"/>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9065"/>
      </w:tblGrid>
      <w:tr w14:paraId="77755B04" w14:textId="77777777" w:rsidTr="00013850">
        <w:tblPrEx>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c>
          <w:tcPr>
            <w:tcW w:w="9065" w:type="dxa"/>
            <w:shd w:val="clear" w:color="auto" w:fill="auto"/>
            <w:vAlign w:val="center"/>
            <w:hideMark/>
          </w:tcPr>
          <w:p w:rsidR="00BD5588" w:rsidRPr="00C42CF1" w:rsidP="00737785" w14:paraId="5D50951D" w14:textId="77777777">
            <w:pPr>
              <w:jc w:val="center"/>
              <w:rPr>
                <w:b/>
                <w:bCs/>
                <w:lang w:eastAsia="en-US"/>
              </w:rPr>
            </w:pPr>
            <w:r w:rsidRPr="00C42CF1">
              <w:rPr>
                <w:b/>
                <w:bCs/>
                <w:lang w:eastAsia="en-US"/>
              </w:rPr>
              <w:t>III. Tiesību akta projekta ietekme uz valsts budžetu un pašvaldību budžetiem</w:t>
            </w:r>
          </w:p>
        </w:tc>
      </w:tr>
      <w:tr w14:paraId="6C46DC08" w14:textId="77777777" w:rsidTr="00013850">
        <w:tblPrEx>
          <w:tblW w:w="5002" w:type="pct"/>
          <w:tblInd w:w="-2" w:type="dxa"/>
          <w:tblLayout w:type="fixed"/>
          <w:tblCellMar>
            <w:top w:w="28" w:type="dxa"/>
            <w:left w:w="28" w:type="dxa"/>
            <w:bottom w:w="28" w:type="dxa"/>
            <w:right w:w="28" w:type="dxa"/>
          </w:tblCellMar>
          <w:tblLook w:val="04A0"/>
        </w:tblPrEx>
        <w:trPr>
          <w:cantSplit/>
        </w:trPr>
        <w:tc>
          <w:tcPr>
            <w:tcW w:w="9065" w:type="dxa"/>
            <w:tcBorders>
              <w:bottom w:val="single" w:sz="4" w:space="0" w:color="auto"/>
            </w:tcBorders>
            <w:shd w:val="clear" w:color="auto" w:fill="auto"/>
          </w:tcPr>
          <w:p w:rsidR="00BC5306" w:rsidRPr="00C42CF1" w:rsidP="00BC5306" w14:paraId="45CD33BE" w14:textId="1A4C432E">
            <w:pPr>
              <w:jc w:val="center"/>
              <w:rPr>
                <w:lang w:eastAsia="en-US"/>
              </w:rPr>
            </w:pPr>
            <w:r w:rsidRPr="00C42CF1">
              <w:rPr>
                <w:lang w:eastAsia="en-US"/>
              </w:rPr>
              <w:t>Projekts šo jomu neskar</w:t>
            </w:r>
          </w:p>
        </w:tc>
      </w:tr>
      <w:tr w14:paraId="054FF32E" w14:textId="77777777" w:rsidTr="00013850">
        <w:tblPrEx>
          <w:tblW w:w="5002" w:type="pct"/>
          <w:tblInd w:w="-2" w:type="dxa"/>
          <w:tblLayout w:type="fixed"/>
          <w:tblCellMar>
            <w:top w:w="28" w:type="dxa"/>
            <w:left w:w="28" w:type="dxa"/>
            <w:bottom w:w="28" w:type="dxa"/>
            <w:right w:w="28" w:type="dxa"/>
          </w:tblCellMar>
          <w:tblLook w:val="04A0"/>
        </w:tblPrEx>
        <w:trPr>
          <w:cantSplit/>
        </w:trPr>
        <w:tc>
          <w:tcPr>
            <w:tcW w:w="9065" w:type="dxa"/>
            <w:tcBorders>
              <w:left w:val="nil"/>
              <w:right w:val="nil"/>
            </w:tcBorders>
            <w:shd w:val="clear" w:color="auto" w:fill="auto"/>
          </w:tcPr>
          <w:p w:rsidR="00BC5306" w:rsidRPr="00C42CF1" w:rsidP="00737785" w14:paraId="37A9B9F6" w14:textId="77777777">
            <w:pPr>
              <w:rPr>
                <w:lang w:eastAsia="en-US"/>
              </w:rPr>
            </w:pPr>
          </w:p>
        </w:tc>
      </w:tr>
      <w:tr w14:paraId="141B6B8E" w14:textId="77777777" w:rsidTr="00013850">
        <w:tblPrEx>
          <w:tblW w:w="5002" w:type="pct"/>
          <w:tblInd w:w="-2" w:type="dxa"/>
          <w:tblLayout w:type="fixed"/>
          <w:tblCellMar>
            <w:top w:w="30" w:type="dxa"/>
            <w:left w:w="30" w:type="dxa"/>
            <w:bottom w:w="30" w:type="dxa"/>
            <w:right w:w="30" w:type="dxa"/>
          </w:tblCellMar>
          <w:tblLook w:val="04A0"/>
        </w:tblPrEx>
        <w:tc>
          <w:tcPr>
            <w:tcW w:w="9065" w:type="dxa"/>
            <w:vAlign w:val="center"/>
            <w:hideMark/>
          </w:tcPr>
          <w:p w:rsidR="00BD5588" w:rsidRPr="00C42CF1" w:rsidP="00737785" w14:paraId="2FF99023" w14:textId="77777777">
            <w:pPr>
              <w:jc w:val="center"/>
              <w:rPr>
                <w:b/>
                <w:bCs/>
              </w:rPr>
            </w:pPr>
            <w:r w:rsidRPr="00C42CF1">
              <w:rPr>
                <w:b/>
                <w:bCs/>
              </w:rPr>
              <w:t>IV. Tiesību akta projekta ietekme uz spēkā esošo tiesību normu sistēmu</w:t>
            </w:r>
          </w:p>
        </w:tc>
      </w:tr>
      <w:tr w14:paraId="7E3EC4A6" w14:textId="77777777" w:rsidTr="00013850">
        <w:tblPrEx>
          <w:tblW w:w="5002" w:type="pct"/>
          <w:tblInd w:w="-2" w:type="dxa"/>
          <w:tblLayout w:type="fixed"/>
          <w:tblCellMar>
            <w:top w:w="30" w:type="dxa"/>
            <w:left w:w="30" w:type="dxa"/>
            <w:bottom w:w="30" w:type="dxa"/>
            <w:right w:w="30" w:type="dxa"/>
          </w:tblCellMar>
          <w:tblLook w:val="04A0"/>
        </w:tblPrEx>
        <w:tc>
          <w:tcPr>
            <w:tcW w:w="9065" w:type="dxa"/>
            <w:vAlign w:val="center"/>
          </w:tcPr>
          <w:p w:rsidR="00013850" w:rsidRPr="00C42CF1" w:rsidP="00737785" w14:paraId="181BD172" w14:textId="3C5570F0">
            <w:pPr>
              <w:jc w:val="center"/>
              <w:rPr>
                <w:b/>
                <w:bCs/>
              </w:rPr>
            </w:pPr>
            <w:r w:rsidRPr="00C42CF1">
              <w:rPr>
                <w:lang w:eastAsia="en-US"/>
              </w:rPr>
              <w:t>Projekts šo jomu neskar</w:t>
            </w:r>
          </w:p>
        </w:tc>
      </w:tr>
    </w:tbl>
    <w:p w:rsidR="00013850" w:rsidRPr="00C42CF1" w:rsidP="0059593D" w14:paraId="6D3505BA" w14:textId="0FE0B96F">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4"/>
        <w:gridCol w:w="2680"/>
        <w:gridCol w:w="5817"/>
      </w:tblGrid>
      <w:tr w14:paraId="045DAB4E" w14:textId="77777777" w:rsidTr="00FD25E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c>
          <w:tcPr>
            <w:tcW w:w="5000" w:type="pct"/>
            <w:gridSpan w:val="3"/>
            <w:vAlign w:val="center"/>
            <w:hideMark/>
          </w:tcPr>
          <w:p w:rsidR="00BD5588" w:rsidRPr="00C42CF1" w:rsidP="00737785" w14:paraId="1F07ABFC" w14:textId="77777777">
            <w:pPr>
              <w:jc w:val="center"/>
              <w:rPr>
                <w:b/>
                <w:bCs/>
              </w:rPr>
            </w:pPr>
            <w:r w:rsidRPr="00C42CF1">
              <w:rPr>
                <w:b/>
                <w:bCs/>
              </w:rPr>
              <w:t>V. Tiesību akta projekta atbilstība Latvijas Republikas starptautiskajām saistībām</w:t>
            </w:r>
          </w:p>
        </w:tc>
      </w:tr>
      <w:tr w14:paraId="06472065" w14:textId="77777777" w:rsidTr="00FD25E3">
        <w:tblPrEx>
          <w:tblW w:w="5000" w:type="pct"/>
          <w:tblCellMar>
            <w:top w:w="30" w:type="dxa"/>
            <w:left w:w="30" w:type="dxa"/>
            <w:bottom w:w="30" w:type="dxa"/>
            <w:right w:w="30" w:type="dxa"/>
          </w:tblCellMar>
          <w:tblLook w:val="04A0"/>
        </w:tblPrEx>
        <w:tc>
          <w:tcPr>
            <w:tcW w:w="311" w:type="pct"/>
            <w:hideMark/>
          </w:tcPr>
          <w:p w:rsidR="00BD5588" w:rsidRPr="00C42CF1" w:rsidP="00737785" w14:paraId="18819120" w14:textId="77777777">
            <w:pPr>
              <w:jc w:val="center"/>
            </w:pPr>
            <w:r w:rsidRPr="00C42CF1">
              <w:t>1.</w:t>
            </w:r>
          </w:p>
        </w:tc>
        <w:tc>
          <w:tcPr>
            <w:tcW w:w="1479" w:type="pct"/>
            <w:hideMark/>
          </w:tcPr>
          <w:p w:rsidR="00BD5588" w:rsidRPr="00C42CF1" w:rsidP="00737785" w14:paraId="3DA93E89" w14:textId="77777777">
            <w:r w:rsidRPr="00C42CF1">
              <w:t>Saistības pret Eiropas Savienību</w:t>
            </w:r>
          </w:p>
        </w:tc>
        <w:tc>
          <w:tcPr>
            <w:tcW w:w="3210" w:type="pct"/>
            <w:hideMark/>
          </w:tcPr>
          <w:p w:rsidR="00BD5588" w:rsidRPr="00C42CF1" w:rsidP="00647D4F" w14:paraId="20D0D34E" w14:textId="2ED50B32">
            <w:pPr>
              <w:jc w:val="both"/>
            </w:pPr>
            <w:r w:rsidRPr="00C42CF1">
              <w:rPr>
                <w:lang w:eastAsia="en-US"/>
              </w:rPr>
              <w:t>Projekts šo jomu neskar</w:t>
            </w:r>
          </w:p>
        </w:tc>
      </w:tr>
      <w:tr w14:paraId="0CA2FCA8"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71B279FC" w14:textId="77777777">
            <w:pPr>
              <w:jc w:val="center"/>
            </w:pPr>
            <w:r w:rsidRPr="00C42CF1">
              <w:t>2.</w:t>
            </w:r>
          </w:p>
        </w:tc>
        <w:tc>
          <w:tcPr>
            <w:tcW w:w="1479" w:type="pct"/>
            <w:hideMark/>
          </w:tcPr>
          <w:p w:rsidR="00BD5588" w:rsidRPr="00C42CF1" w:rsidP="00737785" w14:paraId="66FEBAB2" w14:textId="77777777">
            <w:r w:rsidRPr="00C42CF1">
              <w:t>Citas starptautiskās saistības</w:t>
            </w:r>
          </w:p>
        </w:tc>
        <w:tc>
          <w:tcPr>
            <w:tcW w:w="3210" w:type="pct"/>
            <w:hideMark/>
          </w:tcPr>
          <w:p w:rsidR="00BD5588" w:rsidP="009B157B" w14:paraId="4A660C60" w14:textId="77EEA9FD">
            <w:pPr>
              <w:jc w:val="both"/>
            </w:pPr>
            <w:r>
              <w:t>1979.gada Starptautiskā konvencija par meklēšanu un glābšanu jūrā.</w:t>
            </w:r>
          </w:p>
          <w:p w:rsidR="00013850" w:rsidRPr="00C42CF1" w:rsidP="00E5292B" w14:paraId="554D2C22" w14:textId="077C661D"/>
        </w:tc>
      </w:tr>
      <w:tr w14:paraId="7510D9EA" w14:textId="77777777" w:rsidTr="00737785">
        <w:tblPrEx>
          <w:tblW w:w="5000" w:type="pct"/>
          <w:tblCellMar>
            <w:top w:w="30" w:type="dxa"/>
            <w:left w:w="30" w:type="dxa"/>
            <w:bottom w:w="30" w:type="dxa"/>
            <w:right w:w="30" w:type="dxa"/>
          </w:tblCellMar>
          <w:tblLook w:val="04A0"/>
        </w:tblPrEx>
        <w:trPr>
          <w:cantSplit/>
        </w:trPr>
        <w:tc>
          <w:tcPr>
            <w:tcW w:w="311" w:type="pct"/>
            <w:hideMark/>
          </w:tcPr>
          <w:p w:rsidR="00BD5588" w:rsidRPr="00C42CF1" w:rsidP="00737785" w14:paraId="63C36683" w14:textId="77777777">
            <w:pPr>
              <w:jc w:val="center"/>
            </w:pPr>
            <w:r w:rsidRPr="00C42CF1">
              <w:t>3.</w:t>
            </w:r>
          </w:p>
        </w:tc>
        <w:tc>
          <w:tcPr>
            <w:tcW w:w="1479" w:type="pct"/>
            <w:hideMark/>
          </w:tcPr>
          <w:p w:rsidR="00BD5588" w:rsidRPr="00C42CF1" w:rsidP="00737785" w14:paraId="5A40933E" w14:textId="77777777">
            <w:r w:rsidRPr="00C42CF1">
              <w:t>Cita informācija</w:t>
            </w:r>
          </w:p>
        </w:tc>
        <w:tc>
          <w:tcPr>
            <w:tcW w:w="3210" w:type="pct"/>
            <w:hideMark/>
          </w:tcPr>
          <w:p w:rsidR="00BD5588" w:rsidRPr="00C42CF1" w:rsidP="00737785" w14:paraId="7A5DA1B0" w14:textId="77958909">
            <w:r w:rsidRPr="00C42CF1">
              <w:t>Nav.</w:t>
            </w:r>
          </w:p>
        </w:tc>
      </w:tr>
    </w:tbl>
    <w:p w:rsidR="00BD5588" w:rsidRPr="00C42CF1" w:rsidP="00BD5588" w14:paraId="2284E550" w14:textId="77777777">
      <w:pPr>
        <w:pStyle w:val="Title"/>
        <w:spacing w:before="130" w:line="260" w:lineRule="exact"/>
        <w:ind w:firstLine="539"/>
        <w:jc w:val="both"/>
        <w:rPr>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173"/>
        <w:gridCol w:w="522"/>
        <w:gridCol w:w="3401"/>
        <w:gridCol w:w="2965"/>
      </w:tblGrid>
      <w:tr w14:paraId="33231475" w14:textId="77777777" w:rsidTr="004C34E8">
        <w:tblPrEx>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4"/>
            <w:vAlign w:val="center"/>
            <w:hideMark/>
          </w:tcPr>
          <w:p w:rsidR="00BD5588" w:rsidRPr="00C42CF1" w:rsidP="00737785" w14:paraId="5F5DF8EA" w14:textId="77777777">
            <w:pPr>
              <w:jc w:val="center"/>
              <w:rPr>
                <w:b/>
                <w:bCs/>
              </w:rPr>
            </w:pPr>
            <w:r w:rsidRPr="00C42CF1">
              <w:rPr>
                <w:b/>
                <w:bCs/>
              </w:rPr>
              <w:t>1. tabula</w:t>
            </w:r>
            <w:r w:rsidRPr="00C42CF1">
              <w:rPr>
                <w:b/>
                <w:bCs/>
              </w:rPr>
              <w:br/>
              <w:t>Tiesību akta projekta atbilstība ES tiesību aktiem</w:t>
            </w:r>
          </w:p>
        </w:tc>
      </w:tr>
      <w:tr w14:paraId="76AC978E" w14:textId="77777777" w:rsidTr="004C34E8">
        <w:tblPrEx>
          <w:tblW w:w="5000" w:type="pct"/>
          <w:tblInd w:w="-5" w:type="dxa"/>
          <w:tblCellMar>
            <w:top w:w="30" w:type="dxa"/>
            <w:left w:w="30" w:type="dxa"/>
            <w:bottom w:w="30" w:type="dxa"/>
            <w:right w:w="30" w:type="dxa"/>
          </w:tblCellMar>
          <w:tblLook w:val="04A0"/>
        </w:tblPrEx>
        <w:trPr>
          <w:cantSplit/>
        </w:trPr>
        <w:tc>
          <w:tcPr>
            <w:tcW w:w="5000" w:type="pct"/>
            <w:gridSpan w:val="4"/>
            <w:vAlign w:val="center"/>
          </w:tcPr>
          <w:p w:rsidR="00013850" w:rsidRPr="00013850" w:rsidP="00737785" w14:paraId="6B354BDF" w14:textId="3F5AECFF">
            <w:pPr>
              <w:jc w:val="center"/>
              <w:rPr>
                <w:bCs/>
              </w:rPr>
            </w:pPr>
            <w:r w:rsidRPr="00013850">
              <w:rPr>
                <w:bCs/>
              </w:rPr>
              <w:t>Projekts šo jomu neskar</w:t>
            </w:r>
          </w:p>
        </w:tc>
      </w:tr>
      <w:tr w14:paraId="446F00C8" w14:textId="77777777" w:rsidTr="004C34E8">
        <w:tblPrEx>
          <w:tblW w:w="5000" w:type="pct"/>
          <w:tblInd w:w="-5" w:type="dxa"/>
          <w:tblCellMar>
            <w:top w:w="30" w:type="dxa"/>
            <w:left w:w="30" w:type="dxa"/>
            <w:bottom w:w="30" w:type="dxa"/>
            <w:right w:w="30" w:type="dxa"/>
          </w:tblCellMar>
          <w:tblLook w:val="04A0"/>
        </w:tblPrEx>
        <w:trPr>
          <w:cantSplit/>
        </w:trPr>
        <w:tc>
          <w:tcPr>
            <w:tcW w:w="5000" w:type="pct"/>
            <w:gridSpan w:val="4"/>
            <w:vAlign w:val="center"/>
            <w:hideMark/>
          </w:tcPr>
          <w:p w:rsidR="00BD5588" w:rsidRPr="00C42CF1" w:rsidP="00737785" w14:paraId="67586030" w14:textId="5BCDE174">
            <w:pPr>
              <w:jc w:val="center"/>
              <w:rPr>
                <w:b/>
                <w:bCs/>
              </w:rPr>
            </w:pPr>
            <w:r w:rsidRPr="00C42CF1">
              <w:rPr>
                <w:b/>
                <w:bCs/>
              </w:rPr>
              <w:t>2.</w:t>
            </w:r>
            <w:r w:rsidR="00EF358B">
              <w:rPr>
                <w:b/>
                <w:bCs/>
              </w:rPr>
              <w:t> </w:t>
            </w:r>
            <w:r w:rsidRPr="00C42CF1">
              <w:rPr>
                <w:b/>
                <w:bCs/>
              </w:rPr>
              <w:t>tabula</w:t>
            </w:r>
            <w:r w:rsidRPr="00C42CF1">
              <w:rPr>
                <w:b/>
                <w:bCs/>
              </w:rPr>
              <w:br/>
              <w:t>Ar tiesību akta projektu izpildītās vai uzņemtās saistības, kas izriet no starptautiskajiem tiesību aktiem vai starptautiskas institūcijas vai organizācijas dokumentiem.</w:t>
            </w:r>
            <w:r w:rsidRPr="00C42CF1">
              <w:rPr>
                <w:b/>
                <w:bCs/>
              </w:rPr>
              <w:br/>
              <w:t>Pasākumi šo saistību izpildei</w:t>
            </w:r>
          </w:p>
        </w:tc>
      </w:tr>
      <w:tr w14:paraId="2B2E135C" w14:textId="77777777" w:rsidTr="004C34E8">
        <w:tblPrEx>
          <w:tblW w:w="5000" w:type="pct"/>
          <w:tblInd w:w="-5" w:type="dxa"/>
          <w:tblCellMar>
            <w:top w:w="30" w:type="dxa"/>
            <w:left w:w="30" w:type="dxa"/>
            <w:bottom w:w="30" w:type="dxa"/>
            <w:right w:w="30" w:type="dxa"/>
          </w:tblCellMar>
          <w:tblLook w:val="04A0"/>
        </w:tblPrEx>
        <w:trPr>
          <w:cantSplit/>
        </w:trPr>
        <w:tc>
          <w:tcPr>
            <w:tcW w:w="1199" w:type="pct"/>
            <w:hideMark/>
          </w:tcPr>
          <w:p w:rsidR="00BD5588" w:rsidRPr="00C42CF1" w:rsidP="00737785" w14:paraId="279C3A06" w14:textId="0BDA0FB3">
            <w:r>
              <w:t>Attiecīgā starptautiskā tiesību akta vai starptautiskas institūcijas vai organizācijas dokumenta (turpmāk-starptautiskais dokuments) datums, numurs un nosaukums</w:t>
            </w:r>
          </w:p>
        </w:tc>
        <w:tc>
          <w:tcPr>
            <w:tcW w:w="3801" w:type="pct"/>
            <w:gridSpan w:val="3"/>
            <w:hideMark/>
          </w:tcPr>
          <w:p w:rsidR="00BD5588" w:rsidRPr="00C42CF1" w:rsidP="00737785" w14:paraId="2F6AB1A7" w14:textId="2604D57C">
            <w:r>
              <w:t>1979.</w:t>
            </w:r>
            <w:r w:rsidR="009B157B">
              <w:t> </w:t>
            </w:r>
            <w:r>
              <w:t>gada Starptautiskā konvencija  par meklēšanu un glābšanu jūrā.</w:t>
            </w:r>
          </w:p>
        </w:tc>
      </w:tr>
      <w:tr w14:paraId="56807A77" w14:textId="77777777" w:rsidTr="004C34E8">
        <w:tblPrEx>
          <w:tblW w:w="5000" w:type="pct"/>
          <w:tblInd w:w="-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trHeight w:val="20"/>
        </w:trPr>
        <w:tc>
          <w:tcPr>
            <w:tcW w:w="1487" w:type="pct"/>
            <w:gridSpan w:val="2"/>
            <w:tcBorders>
              <w:top w:val="outset" w:sz="6" w:space="0" w:color="auto"/>
              <w:left w:val="outset" w:sz="6" w:space="0" w:color="auto"/>
              <w:bottom w:val="outset" w:sz="6" w:space="0" w:color="auto"/>
              <w:right w:val="outset" w:sz="6" w:space="0" w:color="auto"/>
            </w:tcBorders>
            <w:vAlign w:val="center"/>
            <w:hideMark/>
          </w:tcPr>
          <w:p w:rsidR="004C34E8" w:rsidRPr="002B54B1" w:rsidP="00562981" w14:paraId="4FCA27D0" w14:textId="77777777">
            <w:pPr>
              <w:pStyle w:val="NoSpacing"/>
              <w:spacing w:line="256" w:lineRule="auto"/>
              <w:jc w:val="center"/>
            </w:pPr>
            <w:r w:rsidRPr="002B54B1">
              <w:t>A</w:t>
            </w:r>
          </w:p>
        </w:tc>
        <w:tc>
          <w:tcPr>
            <w:tcW w:w="1877" w:type="pct"/>
            <w:tcBorders>
              <w:top w:val="outset" w:sz="6" w:space="0" w:color="auto"/>
              <w:left w:val="outset" w:sz="6" w:space="0" w:color="auto"/>
              <w:bottom w:val="outset" w:sz="6" w:space="0" w:color="auto"/>
              <w:right w:val="outset" w:sz="6" w:space="0" w:color="auto"/>
            </w:tcBorders>
            <w:vAlign w:val="center"/>
            <w:hideMark/>
          </w:tcPr>
          <w:p w:rsidR="004C34E8" w:rsidRPr="002B54B1" w:rsidP="00562981" w14:paraId="19663773" w14:textId="77777777">
            <w:pPr>
              <w:pStyle w:val="NoSpacing"/>
              <w:spacing w:line="256" w:lineRule="auto"/>
              <w:jc w:val="center"/>
            </w:pPr>
            <w:r w:rsidRPr="002B54B1">
              <w:t>B</w:t>
            </w:r>
          </w:p>
        </w:tc>
        <w:tc>
          <w:tcPr>
            <w:tcW w:w="1636" w:type="pct"/>
            <w:tcBorders>
              <w:top w:val="outset" w:sz="6" w:space="0" w:color="auto"/>
              <w:left w:val="outset" w:sz="6" w:space="0" w:color="auto"/>
              <w:bottom w:val="outset" w:sz="6" w:space="0" w:color="auto"/>
              <w:right w:val="outset" w:sz="6" w:space="0" w:color="auto"/>
            </w:tcBorders>
            <w:vAlign w:val="center"/>
            <w:hideMark/>
          </w:tcPr>
          <w:p w:rsidR="004C34E8" w:rsidRPr="002B54B1" w:rsidP="00562981" w14:paraId="0169E4F0" w14:textId="77777777">
            <w:pPr>
              <w:pStyle w:val="NoSpacing"/>
              <w:spacing w:line="256" w:lineRule="auto"/>
              <w:jc w:val="center"/>
            </w:pPr>
            <w:r w:rsidRPr="002B54B1">
              <w:t>A</w:t>
            </w:r>
          </w:p>
        </w:tc>
      </w:tr>
      <w:tr w14:paraId="02413BD9" w14:textId="77777777" w:rsidTr="004C34E8">
        <w:tblPrEx>
          <w:tblW w:w="5000" w:type="pct"/>
          <w:tblInd w:w="-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trHeight w:val="20"/>
        </w:trPr>
        <w:tc>
          <w:tcPr>
            <w:tcW w:w="1487" w:type="pct"/>
            <w:gridSpan w:val="2"/>
            <w:tcBorders>
              <w:top w:val="outset" w:sz="6" w:space="0" w:color="auto"/>
              <w:left w:val="outset" w:sz="6" w:space="0" w:color="auto"/>
              <w:bottom w:val="outset" w:sz="6" w:space="0" w:color="auto"/>
              <w:right w:val="outset" w:sz="6" w:space="0" w:color="auto"/>
            </w:tcBorders>
            <w:vAlign w:val="center"/>
            <w:hideMark/>
          </w:tcPr>
          <w:p w:rsidR="004C34E8" w:rsidRPr="002B54B1" w:rsidP="00562981" w14:paraId="19E718AD" w14:textId="77777777">
            <w:pPr>
              <w:pStyle w:val="NoSpacing"/>
              <w:spacing w:line="256" w:lineRule="auto"/>
              <w:jc w:val="center"/>
            </w:pPr>
            <w:r w:rsidRPr="002B54B1">
              <w:t xml:space="preserve">Starptautiskās saistības (pēc būtības), kas izriet no </w:t>
            </w:r>
            <w:r w:rsidRPr="002B54B1">
              <w:t xml:space="preserve">norādītā starptautiskā dokumenta. </w:t>
            </w:r>
          </w:p>
          <w:p w:rsidR="004C34E8" w:rsidRPr="002B54B1" w:rsidP="00562981" w14:paraId="51AA63F0" w14:textId="77777777">
            <w:pPr>
              <w:pStyle w:val="NoSpacing"/>
              <w:spacing w:line="256" w:lineRule="auto"/>
              <w:jc w:val="center"/>
            </w:pPr>
            <w:r w:rsidRPr="002B54B1">
              <w:t>Konkrēti veicamie pasākumi vai uzdevumi, kas nepieciešami šo starptautisko saistību izpildei</w:t>
            </w:r>
          </w:p>
        </w:tc>
        <w:tc>
          <w:tcPr>
            <w:tcW w:w="1877" w:type="pct"/>
            <w:tcBorders>
              <w:top w:val="outset" w:sz="6" w:space="0" w:color="auto"/>
              <w:left w:val="outset" w:sz="6" w:space="0" w:color="auto"/>
              <w:bottom w:val="outset" w:sz="6" w:space="0" w:color="auto"/>
              <w:right w:val="outset" w:sz="6" w:space="0" w:color="auto"/>
            </w:tcBorders>
            <w:vAlign w:val="center"/>
            <w:hideMark/>
          </w:tcPr>
          <w:p w:rsidR="004C34E8" w:rsidRPr="002B54B1" w:rsidP="00562981" w14:paraId="10C8C5C8" w14:textId="77777777">
            <w:pPr>
              <w:pStyle w:val="NoSpacing"/>
              <w:spacing w:line="256" w:lineRule="auto"/>
              <w:jc w:val="center"/>
            </w:pPr>
            <w:r w:rsidRPr="002B54B1">
              <w:t xml:space="preserve">Ja pasākumi vai uzdevumi, ar ko tiks izpildītas starptautiskās </w:t>
            </w:r>
            <w:r w:rsidRPr="002B54B1">
              <w:t>saistības, tiek noteikti projektā, norāda attiecīgo projekta vienību vai dokumentu, kurā sniegts izvērsts skaidrojums, kādā veidā tiks nodrošināta starptautisko saistību izpilde</w:t>
            </w:r>
          </w:p>
        </w:tc>
        <w:tc>
          <w:tcPr>
            <w:tcW w:w="1636" w:type="pct"/>
            <w:tcBorders>
              <w:top w:val="outset" w:sz="6" w:space="0" w:color="auto"/>
              <w:left w:val="outset" w:sz="6" w:space="0" w:color="auto"/>
              <w:bottom w:val="outset" w:sz="6" w:space="0" w:color="auto"/>
              <w:right w:val="outset" w:sz="6" w:space="0" w:color="auto"/>
            </w:tcBorders>
            <w:vAlign w:val="center"/>
            <w:hideMark/>
          </w:tcPr>
          <w:p w:rsidR="004C34E8" w:rsidRPr="002B54B1" w:rsidP="00562981" w14:paraId="01584A19" w14:textId="77777777">
            <w:pPr>
              <w:pStyle w:val="NoSpacing"/>
              <w:spacing w:line="256" w:lineRule="auto"/>
              <w:jc w:val="center"/>
            </w:pPr>
            <w:r w:rsidRPr="002B54B1">
              <w:t xml:space="preserve">Informācija par to, vai starptautiskās saistības, kas </w:t>
            </w:r>
            <w:r w:rsidRPr="002B54B1">
              <w:t xml:space="preserve">minētas šīs tabulas A ailē, tiek izpildītas pilnībā vai daļēji. </w:t>
            </w:r>
          </w:p>
          <w:p w:rsidR="004C34E8" w:rsidRPr="002B54B1" w:rsidP="00562981" w14:paraId="331F5CA7" w14:textId="77777777">
            <w:pPr>
              <w:pStyle w:val="NoSpacing"/>
              <w:spacing w:line="256" w:lineRule="auto"/>
              <w:jc w:val="center"/>
            </w:pPr>
            <w:r w:rsidRPr="002B54B1">
              <w:t>Ja attiecīgās starptautiskās saistības tiek izpildītas daļēji, sniedz skaidrojumu, kā arī precīzi norāda, kad un kādā veidā starptautiskās saistības tiks izpildītas pilnībā.</w:t>
            </w:r>
          </w:p>
          <w:p w:rsidR="004C34E8" w:rsidRPr="002B54B1" w:rsidP="00562981" w14:paraId="553235A7" w14:textId="77777777">
            <w:pPr>
              <w:pStyle w:val="NoSpacing"/>
              <w:spacing w:line="256" w:lineRule="auto"/>
              <w:jc w:val="center"/>
            </w:pPr>
            <w:r w:rsidRPr="002B54B1">
              <w:t>Norāda institūciju, kas ir atbildīga par šo saistību izpildi pilnībā</w:t>
            </w:r>
          </w:p>
        </w:tc>
      </w:tr>
      <w:tr w14:paraId="2C2C4E6F" w14:textId="77777777" w:rsidTr="004C34E8">
        <w:tblPrEx>
          <w:tblW w:w="5000" w:type="pct"/>
          <w:tblInd w:w="-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trHeight w:val="20"/>
        </w:trPr>
        <w:tc>
          <w:tcPr>
            <w:tcW w:w="1487" w:type="pct"/>
            <w:gridSpan w:val="2"/>
            <w:tcBorders>
              <w:top w:val="outset" w:sz="6" w:space="0" w:color="auto"/>
              <w:left w:val="outset" w:sz="6" w:space="0" w:color="auto"/>
              <w:bottom w:val="outset" w:sz="6" w:space="0" w:color="auto"/>
              <w:right w:val="outset" w:sz="6" w:space="0" w:color="auto"/>
            </w:tcBorders>
            <w:hideMark/>
          </w:tcPr>
          <w:p w:rsidR="004C34E8" w:rsidRPr="00160601" w:rsidP="00562981" w14:paraId="1BA1AC7B" w14:textId="548F8B73">
            <w:pPr>
              <w:pStyle w:val="NoSpacing"/>
              <w:spacing w:line="256" w:lineRule="auto"/>
              <w:jc w:val="both"/>
              <w:rPr>
                <w:rFonts w:ascii="Source Sans Pro" w:hAnsi="Source Sans Pro"/>
              </w:rPr>
            </w:pPr>
            <w:r>
              <w:rPr>
                <w:rFonts w:ascii="Source Sans Pro" w:hAnsi="Source Sans Pro"/>
              </w:rPr>
              <w:t xml:space="preserve">Atbilstoši </w:t>
            </w:r>
            <w:r w:rsidRPr="000977B2">
              <w:rPr>
                <w:rFonts w:ascii="Source Sans Pro" w:hAnsi="Source Sans Pro"/>
              </w:rPr>
              <w:t>1979.</w:t>
            </w:r>
            <w:r w:rsidR="009B157B">
              <w:rPr>
                <w:rFonts w:ascii="Source Sans Pro" w:hAnsi="Source Sans Pro" w:hint="eastAsia"/>
              </w:rPr>
              <w:t> </w:t>
            </w:r>
            <w:r w:rsidRPr="000977B2">
              <w:rPr>
                <w:rFonts w:ascii="Source Sans Pro" w:hAnsi="Source Sans Pro"/>
              </w:rPr>
              <w:t>gada Starptautiskā konvencija</w:t>
            </w:r>
            <w:r>
              <w:rPr>
                <w:rFonts w:ascii="Source Sans Pro" w:hAnsi="Source Sans Pro"/>
              </w:rPr>
              <w:t xml:space="preserve">s par meklēšanu un glābšanu jūrā </w:t>
            </w:r>
            <w:r w:rsidRPr="00160601">
              <w:rPr>
                <w:rFonts w:ascii="Source Sans Pro" w:hAnsi="Source Sans Pro"/>
              </w:rPr>
              <w:t>4.2.1.</w:t>
            </w:r>
            <w:r>
              <w:rPr>
                <w:rFonts w:ascii="Source Sans Pro" w:hAnsi="Source Sans Pro"/>
              </w:rPr>
              <w:t xml:space="preserve"> un 4.2.3. apakšpunktam k</w:t>
            </w:r>
            <w:r w:rsidRPr="00160601">
              <w:rPr>
                <w:rFonts w:ascii="Source Sans Pro" w:hAnsi="Source Sans Pro"/>
              </w:rPr>
              <w:t xml:space="preserve">atram glābšanas koordinācijas centram un glābšanas </w:t>
            </w:r>
            <w:r w:rsidRPr="00160601">
              <w:rPr>
                <w:rFonts w:ascii="Source Sans Pro" w:hAnsi="Source Sans Pro"/>
              </w:rPr>
              <w:t>apakšcentram</w:t>
            </w:r>
            <w:r w:rsidRPr="00160601">
              <w:rPr>
                <w:rFonts w:ascii="Source Sans Pro" w:hAnsi="Source Sans Pro"/>
              </w:rPr>
              <w:t xml:space="preserve"> ir jāsagatavo vai jāiegūst savā rīcībā detalizēti plāni vai instrukcijas meklēšanas un glābšanas operāciju </w:t>
            </w:r>
            <w:r>
              <w:rPr>
                <w:rFonts w:ascii="Source Sans Pro" w:hAnsi="Source Sans Pro"/>
              </w:rPr>
              <w:t xml:space="preserve">veikšanai savā atbildības zonā. </w:t>
            </w:r>
            <w:r w:rsidRPr="00160601">
              <w:rPr>
                <w:rFonts w:ascii="Source Sans Pro" w:hAnsi="Source Sans Pro"/>
              </w:rPr>
              <w:t xml:space="preserve">Plānos un instrukcijās būtu ieteicams norādīt detalizētu aprakstu attiecībā uz pasākumiem, kādi veicami meklēšanas un glābšanas operācijās iesaistītajām vienībām savā zonā, iekļaujot </w:t>
            </w:r>
            <w:r>
              <w:rPr>
                <w:rFonts w:ascii="Source Sans Pro" w:hAnsi="Source Sans Pro"/>
              </w:rPr>
              <w:t xml:space="preserve">šajā punktā norādītās ziņas. </w:t>
            </w:r>
          </w:p>
        </w:tc>
        <w:tc>
          <w:tcPr>
            <w:tcW w:w="1877" w:type="pct"/>
            <w:tcBorders>
              <w:top w:val="outset" w:sz="6" w:space="0" w:color="auto"/>
              <w:left w:val="outset" w:sz="6" w:space="0" w:color="auto"/>
              <w:bottom w:val="outset" w:sz="6" w:space="0" w:color="auto"/>
              <w:right w:val="outset" w:sz="6" w:space="0" w:color="auto"/>
            </w:tcBorders>
            <w:hideMark/>
          </w:tcPr>
          <w:p w:rsidR="004C34E8" w:rsidRPr="002B54B1" w:rsidP="00562981" w14:paraId="2462AA74" w14:textId="6CB685DB">
            <w:pPr>
              <w:pStyle w:val="NoSpacing"/>
              <w:spacing w:line="256" w:lineRule="auto"/>
              <w:jc w:val="center"/>
            </w:pPr>
            <w:r>
              <w:t>Projekta 3., 5., 6</w:t>
            </w:r>
            <w:r>
              <w:t>.</w:t>
            </w:r>
            <w:r w:rsidR="009B157B">
              <w:t> </w:t>
            </w:r>
            <w:r>
              <w:t>punkts un 2.pielikums</w:t>
            </w:r>
          </w:p>
        </w:tc>
        <w:tc>
          <w:tcPr>
            <w:tcW w:w="1636" w:type="pct"/>
            <w:tcBorders>
              <w:top w:val="outset" w:sz="6" w:space="0" w:color="auto"/>
              <w:left w:val="outset" w:sz="6" w:space="0" w:color="auto"/>
              <w:bottom w:val="outset" w:sz="6" w:space="0" w:color="auto"/>
              <w:right w:val="outset" w:sz="6" w:space="0" w:color="auto"/>
            </w:tcBorders>
            <w:hideMark/>
          </w:tcPr>
          <w:p w:rsidR="004C34E8" w:rsidRPr="002B54B1" w:rsidP="00562981" w14:paraId="7831DE5B" w14:textId="77777777">
            <w:pPr>
              <w:pStyle w:val="NoSpacing"/>
              <w:spacing w:line="256" w:lineRule="auto"/>
              <w:jc w:val="center"/>
            </w:pPr>
            <w:r w:rsidRPr="00AD1AEF">
              <w:t>Konvencijas normas izpildītas pilnībā</w:t>
            </w:r>
            <w:r>
              <w:t>.</w:t>
            </w:r>
          </w:p>
        </w:tc>
      </w:tr>
      <w:tr w14:paraId="5D301FDB" w14:textId="77777777" w:rsidTr="004C34E8">
        <w:tblPrEx>
          <w:tblW w:w="5000" w:type="pct"/>
          <w:tblInd w:w="-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trHeight w:val="20"/>
        </w:trPr>
        <w:tc>
          <w:tcPr>
            <w:tcW w:w="1487" w:type="pct"/>
            <w:gridSpan w:val="2"/>
            <w:tcBorders>
              <w:top w:val="outset" w:sz="6" w:space="0" w:color="auto"/>
              <w:left w:val="outset" w:sz="6" w:space="0" w:color="auto"/>
              <w:bottom w:val="outset" w:sz="6" w:space="0" w:color="auto"/>
              <w:right w:val="outset" w:sz="6" w:space="0" w:color="auto"/>
            </w:tcBorders>
            <w:hideMark/>
          </w:tcPr>
          <w:p w:rsidR="004C34E8" w:rsidRPr="004A1F8B" w:rsidP="00562981" w14:paraId="3AC9B817" w14:textId="77777777">
            <w:pPr>
              <w:pStyle w:val="NoSpacing"/>
              <w:spacing w:line="256" w:lineRule="auto"/>
              <w:jc w:val="center"/>
            </w:pPr>
            <w:r w:rsidRPr="004A1F8B">
              <w:t>Vai starptautiskajā dokumentā paredzētās saistības nav pretrunā ar jau esošajām Latvijas Republikas starptautiskajām saistībām</w:t>
            </w:r>
          </w:p>
        </w:tc>
        <w:tc>
          <w:tcPr>
            <w:tcW w:w="1877" w:type="pct"/>
            <w:tcBorders>
              <w:top w:val="outset" w:sz="6" w:space="0" w:color="auto"/>
              <w:left w:val="outset" w:sz="6" w:space="0" w:color="auto"/>
              <w:bottom w:val="outset" w:sz="6" w:space="0" w:color="auto"/>
              <w:right w:val="nil"/>
            </w:tcBorders>
            <w:hideMark/>
          </w:tcPr>
          <w:p w:rsidR="004C34E8" w:rsidRPr="004A1F8B" w:rsidP="00562981" w14:paraId="67A813EF" w14:textId="77777777">
            <w:pPr>
              <w:pStyle w:val="NoSpacing"/>
              <w:spacing w:line="256" w:lineRule="auto"/>
              <w:jc w:val="center"/>
            </w:pPr>
            <w:r>
              <w:t>Projekts šo jomu neskar.</w:t>
            </w:r>
          </w:p>
        </w:tc>
        <w:tc>
          <w:tcPr>
            <w:tcW w:w="1636" w:type="pct"/>
            <w:tcBorders>
              <w:top w:val="outset" w:sz="6" w:space="0" w:color="auto"/>
              <w:left w:val="nil"/>
              <w:bottom w:val="outset" w:sz="6" w:space="0" w:color="auto"/>
              <w:right w:val="outset" w:sz="6" w:space="0" w:color="auto"/>
            </w:tcBorders>
          </w:tcPr>
          <w:p w:rsidR="004C34E8" w:rsidRPr="004A1F8B" w:rsidP="00562981" w14:paraId="36119FE7" w14:textId="77777777">
            <w:pPr>
              <w:pStyle w:val="NoSpacing"/>
              <w:spacing w:line="256" w:lineRule="auto"/>
              <w:jc w:val="both"/>
            </w:pPr>
          </w:p>
        </w:tc>
      </w:tr>
      <w:tr w14:paraId="3BE77899" w14:textId="77777777" w:rsidTr="004C34E8">
        <w:tblPrEx>
          <w:tblW w:w="5000" w:type="pct"/>
          <w:tblInd w:w="-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trHeight w:val="20"/>
        </w:trPr>
        <w:tc>
          <w:tcPr>
            <w:tcW w:w="1487" w:type="pct"/>
            <w:gridSpan w:val="2"/>
            <w:tcBorders>
              <w:top w:val="outset" w:sz="6" w:space="0" w:color="auto"/>
              <w:left w:val="outset" w:sz="6" w:space="0" w:color="auto"/>
              <w:bottom w:val="outset" w:sz="6" w:space="0" w:color="auto"/>
              <w:right w:val="outset" w:sz="6" w:space="0" w:color="auto"/>
            </w:tcBorders>
            <w:hideMark/>
          </w:tcPr>
          <w:p w:rsidR="004C34E8" w:rsidRPr="004A1F8B" w:rsidP="00562981" w14:paraId="1A430494" w14:textId="77777777">
            <w:pPr>
              <w:pStyle w:val="NoSpacing"/>
              <w:spacing w:line="256" w:lineRule="auto"/>
              <w:jc w:val="center"/>
            </w:pPr>
            <w:r w:rsidRPr="004A1F8B">
              <w:t>Cita informācija</w:t>
            </w:r>
          </w:p>
        </w:tc>
        <w:tc>
          <w:tcPr>
            <w:tcW w:w="3513" w:type="pct"/>
            <w:gridSpan w:val="2"/>
            <w:tcBorders>
              <w:top w:val="outset" w:sz="6" w:space="0" w:color="auto"/>
              <w:left w:val="outset" w:sz="6" w:space="0" w:color="auto"/>
              <w:bottom w:val="outset" w:sz="6" w:space="0" w:color="auto"/>
              <w:right w:val="outset" w:sz="6" w:space="0" w:color="auto"/>
            </w:tcBorders>
            <w:hideMark/>
          </w:tcPr>
          <w:p w:rsidR="004C34E8" w:rsidRPr="004A1F8B" w:rsidP="00562981" w14:paraId="18136A73" w14:textId="77777777">
            <w:pPr>
              <w:pStyle w:val="NoSpacing"/>
              <w:spacing w:line="256" w:lineRule="auto"/>
              <w:jc w:val="both"/>
            </w:pPr>
            <w:r w:rsidRPr="004A1F8B">
              <w:t>Nav.</w:t>
            </w:r>
          </w:p>
        </w:tc>
      </w:tr>
    </w:tbl>
    <w:p w:rsidR="004C34E8" w:rsidRPr="009B157B" w:rsidP="004C34E8" w14:paraId="3A0A4F9D" w14:textId="77777777">
      <w:pPr>
        <w:jc w:val="both"/>
        <w:outlineLvl w:val="0"/>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567"/>
        <w:gridCol w:w="4932"/>
      </w:tblGrid>
      <w:tr w14:paraId="79F6EDBD" w14:textId="77777777" w:rsidTr="0059593D">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066" w:type="dxa"/>
            <w:gridSpan w:val="3"/>
          </w:tcPr>
          <w:p w:rsidR="004C34E8" w:rsidRPr="009B157B" w:rsidP="006A567C" w14:paraId="389CFF32" w14:textId="77777777">
            <w:pPr>
              <w:jc w:val="center"/>
            </w:pPr>
            <w:r w:rsidRPr="009B157B">
              <w:rPr>
                <w:b/>
                <w:bCs/>
              </w:rPr>
              <w:t>VI. Sabiedrības līdzdalība un komunikācijas aktivitātes</w:t>
            </w:r>
          </w:p>
        </w:tc>
      </w:tr>
      <w:tr w14:paraId="63A62317" w14:textId="77777777" w:rsidTr="0059593D">
        <w:tblPrEx>
          <w:tblW w:w="0" w:type="auto"/>
          <w:tblInd w:w="-5" w:type="dxa"/>
          <w:tblLook w:val="01E0"/>
        </w:tblPrEx>
        <w:tc>
          <w:tcPr>
            <w:tcW w:w="567" w:type="dxa"/>
          </w:tcPr>
          <w:p w:rsidR="004C34E8" w:rsidRPr="009B157B" w:rsidP="00562981" w14:paraId="110B5DEE" w14:textId="77777777">
            <w:pPr>
              <w:ind w:left="57"/>
            </w:pPr>
            <w:r w:rsidRPr="009B157B">
              <w:t>1.</w:t>
            </w:r>
          </w:p>
        </w:tc>
        <w:tc>
          <w:tcPr>
            <w:tcW w:w="3567" w:type="dxa"/>
          </w:tcPr>
          <w:p w:rsidR="004C34E8" w:rsidRPr="009B157B" w:rsidP="006A567C" w14:paraId="7C1F2715" w14:textId="77777777">
            <w:pPr>
              <w:tabs>
                <w:tab w:val="left" w:pos="170"/>
              </w:tabs>
              <w:ind w:left="57" w:right="57"/>
              <w:jc w:val="both"/>
              <w:rPr>
                <w:rFonts w:eastAsia="Calibri"/>
              </w:rPr>
            </w:pPr>
            <w:r w:rsidRPr="009B157B">
              <w:t>Plānotās sabiedrības līdzdalības un komunikācijas aktivitātes saistībā ar projektu</w:t>
            </w:r>
            <w:bookmarkStart w:id="0" w:name="_GoBack"/>
            <w:bookmarkEnd w:id="0"/>
          </w:p>
        </w:tc>
        <w:tc>
          <w:tcPr>
            <w:tcW w:w="4932" w:type="dxa"/>
          </w:tcPr>
          <w:p w:rsidR="004C34E8" w:rsidRPr="009B157B" w:rsidP="006A567C" w14:paraId="522B569A" w14:textId="77777777">
            <w:pPr>
              <w:jc w:val="both"/>
            </w:pPr>
            <w:r w:rsidRPr="009B157B">
              <w:t>Nav.</w:t>
            </w:r>
          </w:p>
        </w:tc>
      </w:tr>
      <w:tr w14:paraId="0B5D35DE" w14:textId="77777777" w:rsidTr="0059593D">
        <w:tblPrEx>
          <w:tblW w:w="0" w:type="auto"/>
          <w:tblInd w:w="-5" w:type="dxa"/>
          <w:tblLook w:val="01E0"/>
        </w:tblPrEx>
        <w:tc>
          <w:tcPr>
            <w:tcW w:w="567" w:type="dxa"/>
          </w:tcPr>
          <w:p w:rsidR="004C34E8" w:rsidRPr="009B157B" w:rsidP="00562981" w14:paraId="779D1EB1" w14:textId="77777777">
            <w:pPr>
              <w:ind w:left="57"/>
            </w:pPr>
            <w:r w:rsidRPr="009B157B">
              <w:t>2.</w:t>
            </w:r>
          </w:p>
        </w:tc>
        <w:tc>
          <w:tcPr>
            <w:tcW w:w="3567" w:type="dxa"/>
          </w:tcPr>
          <w:p w:rsidR="004C34E8" w:rsidRPr="009B157B" w:rsidP="006A567C" w14:paraId="61AF575F" w14:textId="77777777">
            <w:pPr>
              <w:ind w:left="57" w:right="57"/>
              <w:jc w:val="both"/>
              <w:rPr>
                <w:rFonts w:eastAsia="Calibri"/>
              </w:rPr>
            </w:pPr>
            <w:r w:rsidRPr="009B157B">
              <w:t>Sabiedrības līdzdalība projekta izstrādē</w:t>
            </w:r>
          </w:p>
        </w:tc>
        <w:tc>
          <w:tcPr>
            <w:tcW w:w="4932" w:type="dxa"/>
          </w:tcPr>
          <w:p w:rsidR="004C34E8" w:rsidRPr="009B157B" w:rsidP="006A567C" w14:paraId="1EB7C715" w14:textId="77777777">
            <w:pPr>
              <w:jc w:val="both"/>
            </w:pPr>
            <w:r w:rsidRPr="009B157B">
              <w:t>Nav.</w:t>
            </w:r>
          </w:p>
        </w:tc>
      </w:tr>
      <w:tr w14:paraId="352026D4" w14:textId="77777777" w:rsidTr="0059593D">
        <w:tblPrEx>
          <w:tblW w:w="0" w:type="auto"/>
          <w:tblInd w:w="-5" w:type="dxa"/>
          <w:tblLook w:val="01E0"/>
        </w:tblPrEx>
        <w:tc>
          <w:tcPr>
            <w:tcW w:w="567" w:type="dxa"/>
          </w:tcPr>
          <w:p w:rsidR="004C34E8" w:rsidRPr="009B157B" w:rsidP="00562981" w14:paraId="11E832D5" w14:textId="77777777">
            <w:pPr>
              <w:ind w:left="57"/>
            </w:pPr>
            <w:r w:rsidRPr="009B157B">
              <w:t>3.</w:t>
            </w:r>
          </w:p>
        </w:tc>
        <w:tc>
          <w:tcPr>
            <w:tcW w:w="3567" w:type="dxa"/>
          </w:tcPr>
          <w:p w:rsidR="004C34E8" w:rsidRPr="009B157B" w:rsidP="006A567C" w14:paraId="13F2DD2A" w14:textId="77777777">
            <w:pPr>
              <w:ind w:left="57" w:right="57"/>
              <w:jc w:val="both"/>
              <w:rPr>
                <w:rFonts w:eastAsia="Calibri"/>
              </w:rPr>
            </w:pPr>
            <w:r w:rsidRPr="009B157B">
              <w:rPr>
                <w:rFonts w:eastAsia="Calibri"/>
              </w:rPr>
              <w:t xml:space="preserve">Sabiedrības līdzdalības rezultāti </w:t>
            </w:r>
          </w:p>
        </w:tc>
        <w:tc>
          <w:tcPr>
            <w:tcW w:w="4932" w:type="dxa"/>
          </w:tcPr>
          <w:p w:rsidR="004C34E8" w:rsidRPr="009B157B" w:rsidP="006A567C" w14:paraId="671B482E" w14:textId="77777777">
            <w:pPr>
              <w:jc w:val="both"/>
            </w:pPr>
            <w:r w:rsidRPr="009B157B">
              <w:t>Nav.</w:t>
            </w:r>
          </w:p>
          <w:p w:rsidR="004C34E8" w:rsidRPr="009B157B" w:rsidP="006A567C" w14:paraId="1CAD0832" w14:textId="77777777">
            <w:pPr>
              <w:jc w:val="both"/>
              <w:rPr>
                <w:b/>
              </w:rPr>
            </w:pPr>
          </w:p>
        </w:tc>
      </w:tr>
      <w:tr w14:paraId="76AE215D" w14:textId="77777777" w:rsidTr="0059593D">
        <w:tblPrEx>
          <w:tblW w:w="0" w:type="auto"/>
          <w:tblInd w:w="-5" w:type="dxa"/>
          <w:tblLook w:val="01E0"/>
        </w:tblPrEx>
        <w:tc>
          <w:tcPr>
            <w:tcW w:w="567" w:type="dxa"/>
          </w:tcPr>
          <w:p w:rsidR="004C34E8" w:rsidRPr="009B157B" w:rsidP="00562981" w14:paraId="2D7E637D" w14:textId="77777777">
            <w:pPr>
              <w:ind w:left="57"/>
            </w:pPr>
            <w:r w:rsidRPr="009B157B">
              <w:t>4.</w:t>
            </w:r>
          </w:p>
        </w:tc>
        <w:tc>
          <w:tcPr>
            <w:tcW w:w="3567" w:type="dxa"/>
          </w:tcPr>
          <w:p w:rsidR="004C34E8" w:rsidRPr="009B157B" w:rsidP="006A567C" w14:paraId="64BB8F65" w14:textId="77777777">
            <w:pPr>
              <w:ind w:left="57" w:right="57"/>
              <w:jc w:val="both"/>
              <w:rPr>
                <w:rFonts w:eastAsia="Calibri"/>
              </w:rPr>
            </w:pPr>
            <w:r w:rsidRPr="009B157B">
              <w:rPr>
                <w:rFonts w:eastAsia="Calibri"/>
              </w:rPr>
              <w:t>Cita informācija</w:t>
            </w:r>
          </w:p>
          <w:p w:rsidR="004C34E8" w:rsidRPr="009B157B" w:rsidP="006A567C" w14:paraId="0A78FF7E" w14:textId="77777777">
            <w:pPr>
              <w:ind w:left="57" w:right="57"/>
              <w:jc w:val="both"/>
              <w:rPr>
                <w:rFonts w:eastAsia="Calibri"/>
              </w:rPr>
            </w:pPr>
          </w:p>
        </w:tc>
        <w:tc>
          <w:tcPr>
            <w:tcW w:w="4932" w:type="dxa"/>
          </w:tcPr>
          <w:p w:rsidR="004C34E8" w:rsidRPr="009B157B" w:rsidP="006A567C" w14:paraId="5EEE4A88" w14:textId="77777777">
            <w:pPr>
              <w:jc w:val="both"/>
            </w:pPr>
            <w:r w:rsidRPr="009B157B">
              <w:t xml:space="preserve">Sabiedrība pēc projekta pieņemšanas tiks informēta ar publikāciju oficiālajā izdevumā "Latvijas Vēstnesis", kā arī ievietojot to bezmaksas normatīvo aktu datu bāzē </w:t>
            </w:r>
            <w:r w:rsidRPr="009B157B">
              <w:t>www.likumi.lv</w:t>
            </w:r>
            <w:r w:rsidRPr="009B157B">
              <w:t>.</w:t>
            </w:r>
          </w:p>
        </w:tc>
      </w:tr>
    </w:tbl>
    <w:p w:rsidR="004C34E8" w:rsidRPr="00C24B93" w:rsidP="004C34E8" w14:paraId="1142E473" w14:textId="77777777">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558"/>
        <w:gridCol w:w="3200"/>
        <w:gridCol w:w="5297"/>
      </w:tblGrid>
      <w:tr w14:paraId="72C220DA" w14:textId="77777777" w:rsidTr="009B157B">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C34E8" w:rsidRPr="00F7038D" w:rsidP="00562981" w14:paraId="4E42C666" w14:textId="77777777">
            <w:pPr>
              <w:spacing w:before="100" w:beforeAutospacing="1" w:after="100" w:afterAutospacing="1" w:line="315" w:lineRule="atLeast"/>
              <w:jc w:val="center"/>
              <w:rPr>
                <w:b/>
                <w:bCs/>
              </w:rPr>
            </w:pPr>
            <w:r w:rsidRPr="00F7038D">
              <w:rPr>
                <w:b/>
                <w:bCs/>
              </w:rPr>
              <w:t>VII. Tiesību akta projekta izpildes nodrošināšana un tās ietekme uz institūcijām</w:t>
            </w:r>
          </w:p>
        </w:tc>
      </w:tr>
      <w:tr w14:paraId="5EC9D824" w14:textId="77777777" w:rsidTr="009B157B">
        <w:tblPrEx>
          <w:tblW w:w="5000" w:type="pct"/>
          <w:jc w:val="center"/>
          <w:tblCellMar>
            <w:top w:w="24" w:type="dxa"/>
            <w:left w:w="24" w:type="dxa"/>
            <w:bottom w:w="24" w:type="dxa"/>
            <w:right w:w="24" w:type="dxa"/>
          </w:tblCellMar>
          <w:tblLook w:val="04A0"/>
        </w:tblPrEx>
        <w:trPr>
          <w:trHeight w:val="336"/>
          <w:jc w:val="center"/>
        </w:trPr>
        <w:tc>
          <w:tcPr>
            <w:tcW w:w="308" w:type="pct"/>
            <w:tcBorders>
              <w:top w:val="outset" w:sz="6" w:space="0" w:color="414142"/>
              <w:left w:val="outset" w:sz="6" w:space="0" w:color="414142"/>
              <w:bottom w:val="outset" w:sz="6" w:space="0" w:color="414142"/>
              <w:right w:val="outset" w:sz="6" w:space="0" w:color="414142"/>
            </w:tcBorders>
            <w:hideMark/>
          </w:tcPr>
          <w:p w:rsidR="004C34E8" w:rsidRPr="00F7038D" w:rsidP="00562981" w14:paraId="1C733752" w14:textId="77777777">
            <w:r w:rsidRPr="00F7038D">
              <w:t>1.</w:t>
            </w:r>
          </w:p>
        </w:tc>
        <w:tc>
          <w:tcPr>
            <w:tcW w:w="1767" w:type="pct"/>
            <w:tcBorders>
              <w:top w:val="outset" w:sz="6" w:space="0" w:color="414142"/>
              <w:left w:val="outset" w:sz="6" w:space="0" w:color="414142"/>
              <w:bottom w:val="outset" w:sz="6" w:space="0" w:color="414142"/>
              <w:right w:val="outset" w:sz="6" w:space="0" w:color="414142"/>
            </w:tcBorders>
            <w:hideMark/>
          </w:tcPr>
          <w:p w:rsidR="004C34E8" w:rsidRPr="00F7038D" w:rsidP="00562981" w14:paraId="0B1DFC77" w14:textId="77777777">
            <w:r w:rsidRPr="00F7038D">
              <w:t>Projekta izpildē iesaistītās institūcijas</w:t>
            </w:r>
          </w:p>
        </w:tc>
        <w:tc>
          <w:tcPr>
            <w:tcW w:w="2925" w:type="pct"/>
            <w:tcBorders>
              <w:top w:val="outset" w:sz="6" w:space="0" w:color="414142"/>
              <w:left w:val="outset" w:sz="6" w:space="0" w:color="414142"/>
              <w:bottom w:val="outset" w:sz="6" w:space="0" w:color="414142"/>
              <w:right w:val="outset" w:sz="6" w:space="0" w:color="414142"/>
            </w:tcBorders>
            <w:hideMark/>
          </w:tcPr>
          <w:p w:rsidR="004C34E8" w:rsidRPr="006E3759" w:rsidP="006A567C" w14:paraId="186B1323" w14:textId="7D33588E">
            <w:pPr>
              <w:jc w:val="both"/>
              <w:rPr>
                <w:highlight w:val="yellow"/>
              </w:rPr>
            </w:pPr>
            <w:r w:rsidRPr="006E3759">
              <w:t xml:space="preserve">Aizsardzības ministrija, Nacionālie bruņotie spēki, Jūras meklēšanas un glābšanas koordinācijas centrs (MRCC), Iekšlietu ministrija, Valsts policija, Valsts robežsardze, Valsts ugunsdzēsības un glābšanas dienests, Ārlietu ministrija, Satiksmes ministrija, valsts aģentūra “Civilās aviācijas aģentūra”, valsts akciju sabiedrība “Latvijas Jūras administrācija”, Veselības ministrija, Neliekamās medicīniskās palīdzības dienests, ostu dienesti, citas Latvijas Republikas un ārvalstu institūcijas.  </w:t>
            </w:r>
          </w:p>
        </w:tc>
      </w:tr>
      <w:tr w14:paraId="762826E4" w14:textId="77777777" w:rsidTr="009B157B">
        <w:tblPrEx>
          <w:tblW w:w="5000" w:type="pct"/>
          <w:jc w:val="center"/>
          <w:tblCellMar>
            <w:top w:w="24" w:type="dxa"/>
            <w:left w:w="24" w:type="dxa"/>
            <w:bottom w:w="24" w:type="dxa"/>
            <w:right w:w="24" w:type="dxa"/>
          </w:tblCellMar>
          <w:tblLook w:val="04A0"/>
        </w:tblPrEx>
        <w:trPr>
          <w:trHeight w:val="360"/>
          <w:jc w:val="center"/>
        </w:trPr>
        <w:tc>
          <w:tcPr>
            <w:tcW w:w="308" w:type="pct"/>
            <w:tcBorders>
              <w:top w:val="outset" w:sz="6" w:space="0" w:color="414142"/>
              <w:left w:val="outset" w:sz="6" w:space="0" w:color="414142"/>
              <w:bottom w:val="outset" w:sz="6" w:space="0" w:color="414142"/>
              <w:right w:val="outset" w:sz="6" w:space="0" w:color="414142"/>
            </w:tcBorders>
            <w:hideMark/>
          </w:tcPr>
          <w:p w:rsidR="004C34E8" w:rsidRPr="00F7038D" w:rsidP="00562981" w14:paraId="0075C04A" w14:textId="77777777">
            <w:r w:rsidRPr="00F7038D">
              <w:t>2.</w:t>
            </w:r>
          </w:p>
        </w:tc>
        <w:tc>
          <w:tcPr>
            <w:tcW w:w="1767" w:type="pct"/>
            <w:tcBorders>
              <w:top w:val="outset" w:sz="6" w:space="0" w:color="414142"/>
              <w:left w:val="outset" w:sz="6" w:space="0" w:color="414142"/>
              <w:bottom w:val="outset" w:sz="6" w:space="0" w:color="414142"/>
              <w:right w:val="outset" w:sz="6" w:space="0" w:color="414142"/>
            </w:tcBorders>
            <w:hideMark/>
          </w:tcPr>
          <w:p w:rsidR="004C34E8" w:rsidRPr="00F7038D" w:rsidP="00562981" w14:paraId="405E76E1" w14:textId="77777777">
            <w:r w:rsidRPr="00F7038D">
              <w:t>Projekta izpildes ietekme uz pārvaldes funkcijām un institucionālo struktūru.</w:t>
            </w:r>
          </w:p>
          <w:p w:rsidR="004C34E8" w:rsidRPr="00F7038D" w:rsidP="00562981" w14:paraId="03035EB9" w14:textId="77777777">
            <w:pPr>
              <w:spacing w:before="100" w:beforeAutospacing="1" w:after="100" w:afterAutospacing="1" w:line="315" w:lineRule="atLeast"/>
            </w:pPr>
            <w:r w:rsidRPr="00F7038D">
              <w:t>Jaunu institūciju izveide, esošu institūciju likvidācija vai reorganizācija, to ietekme uz institūcijas cilvēkresursiem</w:t>
            </w:r>
          </w:p>
        </w:tc>
        <w:tc>
          <w:tcPr>
            <w:tcW w:w="2925" w:type="pct"/>
            <w:tcBorders>
              <w:top w:val="outset" w:sz="6" w:space="0" w:color="414142"/>
              <w:left w:val="outset" w:sz="6" w:space="0" w:color="414142"/>
              <w:bottom w:val="outset" w:sz="6" w:space="0" w:color="414142"/>
              <w:right w:val="outset" w:sz="6" w:space="0" w:color="414142"/>
            </w:tcBorders>
            <w:hideMark/>
          </w:tcPr>
          <w:p w:rsidR="004C34E8" w:rsidRPr="00F7038D" w:rsidP="00562981" w14:paraId="33559B00" w14:textId="77777777">
            <w:pPr>
              <w:jc w:val="both"/>
            </w:pPr>
            <w:r w:rsidRPr="006E3759">
              <w:t>Pārvaldes funkcijas un uzdevumi netiek grozīti, institucionālā struktūra netiek mainīta. Jaunas institūcijas netiks izveidotas. Esošās institūcijas netiks likvidētas vai reorganizētas. Projekts tiks īstenots esošo institūciju un cilvēkresursu ietvaros.</w:t>
            </w:r>
          </w:p>
        </w:tc>
      </w:tr>
      <w:tr w14:paraId="2463BFA5" w14:textId="77777777" w:rsidTr="009B157B">
        <w:tblPrEx>
          <w:tblW w:w="5000" w:type="pct"/>
          <w:jc w:val="center"/>
          <w:tblCellMar>
            <w:top w:w="24" w:type="dxa"/>
            <w:left w:w="24" w:type="dxa"/>
            <w:bottom w:w="24" w:type="dxa"/>
            <w:right w:w="24" w:type="dxa"/>
          </w:tblCellMar>
          <w:tblLook w:val="04A0"/>
        </w:tblPrEx>
        <w:trPr>
          <w:trHeight w:val="312"/>
          <w:jc w:val="center"/>
        </w:trPr>
        <w:tc>
          <w:tcPr>
            <w:tcW w:w="308" w:type="pct"/>
            <w:tcBorders>
              <w:top w:val="outset" w:sz="6" w:space="0" w:color="414142"/>
              <w:left w:val="outset" w:sz="6" w:space="0" w:color="414142"/>
              <w:bottom w:val="outset" w:sz="6" w:space="0" w:color="414142"/>
              <w:right w:val="outset" w:sz="6" w:space="0" w:color="414142"/>
            </w:tcBorders>
            <w:hideMark/>
          </w:tcPr>
          <w:p w:rsidR="004C34E8" w:rsidRPr="00F7038D" w:rsidP="00562981" w14:paraId="7D68EC24" w14:textId="77777777">
            <w:r w:rsidRPr="00F7038D">
              <w:t>3.</w:t>
            </w:r>
          </w:p>
        </w:tc>
        <w:tc>
          <w:tcPr>
            <w:tcW w:w="1767" w:type="pct"/>
            <w:tcBorders>
              <w:top w:val="outset" w:sz="6" w:space="0" w:color="414142"/>
              <w:left w:val="outset" w:sz="6" w:space="0" w:color="414142"/>
              <w:bottom w:val="outset" w:sz="6" w:space="0" w:color="414142"/>
              <w:right w:val="outset" w:sz="6" w:space="0" w:color="414142"/>
            </w:tcBorders>
            <w:hideMark/>
          </w:tcPr>
          <w:p w:rsidR="004C34E8" w:rsidRPr="00F7038D" w:rsidP="00562981" w14:paraId="3D380FE6" w14:textId="77777777">
            <w:r w:rsidRPr="00F7038D">
              <w:t>Cita informācija</w:t>
            </w:r>
          </w:p>
        </w:tc>
        <w:tc>
          <w:tcPr>
            <w:tcW w:w="2925" w:type="pct"/>
            <w:tcBorders>
              <w:top w:val="outset" w:sz="6" w:space="0" w:color="414142"/>
              <w:left w:val="outset" w:sz="6" w:space="0" w:color="414142"/>
              <w:bottom w:val="outset" w:sz="6" w:space="0" w:color="414142"/>
              <w:right w:val="outset" w:sz="6" w:space="0" w:color="414142"/>
            </w:tcBorders>
            <w:hideMark/>
          </w:tcPr>
          <w:p w:rsidR="004C34E8" w:rsidRPr="00F7038D" w:rsidP="00562981" w14:paraId="2AC6B6E9" w14:textId="77777777">
            <w:pPr>
              <w:spacing w:before="100" w:beforeAutospacing="1" w:after="100" w:afterAutospacing="1" w:line="315" w:lineRule="atLeast"/>
            </w:pPr>
            <w:r>
              <w:t>Nav.</w:t>
            </w:r>
          </w:p>
        </w:tc>
      </w:tr>
    </w:tbl>
    <w:p w:rsidR="004C34E8" w:rsidRPr="00F7038D" w:rsidP="004C34E8" w14:paraId="21BBDCDB" w14:textId="77777777">
      <w:pPr>
        <w:tabs>
          <w:tab w:val="right" w:pos="9074"/>
        </w:tabs>
        <w:rPr>
          <w:lang w:bidi="lo-LA"/>
        </w:rPr>
      </w:pPr>
    </w:p>
    <w:p w:rsidR="00BD5588" w:rsidP="00BD5588" w14:paraId="21A97309" w14:textId="464EEC6A">
      <w:pPr>
        <w:pStyle w:val="Title"/>
        <w:spacing w:before="130" w:line="260" w:lineRule="exact"/>
        <w:ind w:firstLine="539"/>
        <w:jc w:val="both"/>
        <w:rPr>
          <w:sz w:val="24"/>
          <w:szCs w:val="24"/>
        </w:rPr>
      </w:pPr>
    </w:p>
    <w:p w:rsidR="00E44472" w:rsidRPr="00C42CF1" w14:paraId="13AA5E1B" w14:textId="77777777"/>
    <w:p w:rsidR="005D28CA" w:rsidRPr="005D28CA" w:rsidP="005D28CA" w14:paraId="7B928468" w14:textId="77777777"/>
    <w:p w:rsidR="005D28CA" w:rsidRPr="005D28CA" w:rsidP="005D28CA" w14:paraId="606E356E" w14:textId="63031C84">
      <w:r>
        <w:t>Aizsardzības ministrs</w:t>
      </w:r>
      <w:r>
        <w:tab/>
      </w:r>
      <w:r>
        <w:tab/>
      </w:r>
      <w:r>
        <w:tab/>
      </w:r>
      <w:r>
        <w:tab/>
      </w:r>
      <w:r>
        <w:tab/>
      </w:r>
      <w:r>
        <w:tab/>
      </w:r>
      <w:r>
        <w:tab/>
      </w:r>
      <w:r w:rsidRPr="005D28CA">
        <w:t>Raimonds Bergmanis</w:t>
      </w:r>
    </w:p>
    <w:p w:rsidR="006E22EB" w14:paraId="5FC43D66" w14:textId="77777777"/>
    <w:p w:rsidR="00B44574" w:rsidP="005D28CA" w14:paraId="5DEF0DB1" w14:textId="77777777">
      <w:pPr>
        <w:rPr>
          <w:sz w:val="20"/>
          <w:szCs w:val="20"/>
        </w:rPr>
      </w:pPr>
    </w:p>
    <w:p w:rsidR="00B44574" w:rsidP="005D28CA" w14:paraId="00B51F5F" w14:textId="77777777">
      <w:pPr>
        <w:rPr>
          <w:sz w:val="20"/>
          <w:szCs w:val="20"/>
        </w:rPr>
      </w:pPr>
    </w:p>
    <w:p w:rsidR="00B44574" w:rsidP="005D28CA" w14:paraId="7ADEDB56" w14:textId="3B2E6D51">
      <w:pPr>
        <w:rPr>
          <w:sz w:val="20"/>
          <w:szCs w:val="20"/>
        </w:rPr>
      </w:pPr>
    </w:p>
    <w:p w:rsidR="00B44574" w:rsidP="005D28CA" w14:paraId="1D307FFA" w14:textId="77777777">
      <w:pPr>
        <w:rPr>
          <w:sz w:val="20"/>
          <w:szCs w:val="20"/>
        </w:rPr>
      </w:pPr>
    </w:p>
    <w:p w:rsidR="005D28CA" w:rsidRPr="00AB2B5D" w:rsidP="005D28CA" w14:paraId="0D4DDC09" w14:textId="2C6AEDC6">
      <w:pPr>
        <w:rPr>
          <w:sz w:val="20"/>
          <w:szCs w:val="20"/>
        </w:rPr>
      </w:pPr>
      <w:r>
        <w:rPr>
          <w:sz w:val="20"/>
          <w:szCs w:val="20"/>
        </w:rPr>
        <w:t>D.Pinne</w:t>
      </w:r>
      <w:r w:rsidR="00AB2B5D">
        <w:rPr>
          <w:sz w:val="20"/>
          <w:szCs w:val="20"/>
        </w:rPr>
        <w:t>,</w:t>
      </w:r>
      <w:r>
        <w:rPr>
          <w:sz w:val="20"/>
          <w:szCs w:val="20"/>
        </w:rPr>
        <w:t xml:space="preserve"> 67335027</w:t>
      </w:r>
    </w:p>
    <w:p w:rsidR="005D28CA" w:rsidRPr="00AB2B5D" w:rsidP="004029CF" w14:paraId="01F1956B" w14:textId="4616CC31">
      <w:pPr>
        <w:tabs>
          <w:tab w:val="left" w:pos="4962"/>
        </w:tabs>
        <w:rPr>
          <w:sz w:val="20"/>
          <w:szCs w:val="20"/>
        </w:rPr>
      </w:pPr>
      <w:r>
        <w:fldChar w:fldCharType="begin"/>
      </w:r>
      <w:r>
        <w:instrText xml:space="preserve"> HYPERLINK "mailto:dana.pinne@mod.gov.lv" </w:instrText>
      </w:r>
      <w:r>
        <w:fldChar w:fldCharType="separate"/>
      </w:r>
      <w:r w:rsidRPr="00E5165A" w:rsidR="0049491E">
        <w:rPr>
          <w:rStyle w:val="Hyperlink"/>
          <w:sz w:val="20"/>
          <w:szCs w:val="20"/>
        </w:rPr>
        <w:t>dana.pinne@mod.gov.lv</w:t>
      </w:r>
      <w:r>
        <w:fldChar w:fldCharType="end"/>
      </w:r>
      <w:r w:rsidRPr="00AB2B5D">
        <w:rPr>
          <w:sz w:val="20"/>
          <w:szCs w:val="20"/>
        </w:rPr>
        <w:t xml:space="preserve"> </w:t>
      </w:r>
    </w:p>
    <w:sectPr w:rsidSect="00C017B3">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ource Sans Pro">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E11" w14:paraId="23E733B8" w14:textId="682BC796">
    <w:pPr>
      <w:pStyle w:val="Footer"/>
      <w:jc w:val="center"/>
    </w:pPr>
  </w:p>
  <w:p w:rsidR="00DC4E11" w:rsidRPr="00724AEF" w:rsidP="00C017B3" w14:paraId="73630886" w14:textId="3AEB1483">
    <w:pPr>
      <w:pStyle w:val="Footer"/>
      <w:rPr>
        <w:sz w:val="20"/>
        <w:szCs w:val="20"/>
      </w:rPr>
    </w:pPr>
    <w:r w:rsidRPr="00724AEF">
      <w:rPr>
        <w:sz w:val="20"/>
        <w:szCs w:val="20"/>
      </w:rPr>
      <w:fldChar w:fldCharType="begin"/>
    </w:r>
    <w:r w:rsidRPr="00724AEF">
      <w:rPr>
        <w:sz w:val="20"/>
        <w:szCs w:val="20"/>
      </w:rPr>
      <w:instrText xml:space="preserve"> FILENAME   \* MERGEFORMAT </w:instrText>
    </w:r>
    <w:r w:rsidRPr="00724AEF">
      <w:rPr>
        <w:sz w:val="20"/>
        <w:szCs w:val="20"/>
      </w:rPr>
      <w:fldChar w:fldCharType="separate"/>
    </w:r>
    <w:r w:rsidRPr="00724AEF">
      <w:rPr>
        <w:noProof/>
        <w:sz w:val="20"/>
        <w:szCs w:val="20"/>
      </w:rPr>
      <w:fldChar w:fldCharType="end"/>
    </w:r>
  </w:p>
  <w:p w:rsidR="00DC4E11" w14:paraId="51B239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E11" w:rsidRPr="00724AEF" w14:paraId="12189CC9" w14:textId="70ADFA2C">
    <w:pPr>
      <w:pStyle w:val="Footer"/>
      <w:rPr>
        <w:sz w:val="20"/>
        <w:szCs w:val="20"/>
      </w:rPr>
    </w:pPr>
    <w:r w:rsidRPr="00724AEF">
      <w:rPr>
        <w:sz w:val="20"/>
        <w:szCs w:val="20"/>
      </w:rPr>
      <w:fldChar w:fldCharType="begin"/>
    </w:r>
    <w:r w:rsidRPr="00724AEF">
      <w:rPr>
        <w:sz w:val="20"/>
        <w:szCs w:val="20"/>
      </w:rPr>
      <w:instrText xml:space="preserve"> FILENAME   \* MERGEFORMAT </w:instrText>
    </w:r>
    <w:r w:rsidRPr="00724AEF">
      <w:rPr>
        <w:sz w:val="20"/>
        <w:szCs w:val="20"/>
      </w:rPr>
      <w:fldChar w:fldCharType="separate"/>
    </w:r>
    <w:r w:rsidRPr="00724AEF">
      <w:rPr>
        <w:noProof/>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41155874"/>
      <w:docPartObj>
        <w:docPartGallery w:val="Page Numbers (Top of Page)"/>
        <w:docPartUnique/>
      </w:docPartObj>
    </w:sdtPr>
    <w:sdtEndPr>
      <w:rPr>
        <w:noProof/>
      </w:rPr>
    </w:sdtEndPr>
    <w:sdtContent>
      <w:p w:rsidR="00DC4E11" w14:paraId="543F1258" w14:textId="70A30FEE">
        <w:pPr>
          <w:pStyle w:val="Header"/>
          <w:jc w:val="center"/>
        </w:pPr>
        <w:r>
          <w:fldChar w:fldCharType="begin"/>
        </w:r>
        <w:r>
          <w:instrText xml:space="preserve"> PAGE   \* MERGEFORMAT </w:instrText>
        </w:r>
        <w:r>
          <w:fldChar w:fldCharType="separate"/>
        </w:r>
        <w:r w:rsidR="009B157B">
          <w:rPr>
            <w:noProof/>
          </w:rPr>
          <w:t>6</w:t>
        </w:r>
        <w:r>
          <w:rPr>
            <w:noProof/>
          </w:rPr>
          <w:fldChar w:fldCharType="end"/>
        </w:r>
      </w:p>
    </w:sdtContent>
  </w:sdt>
  <w:p w:rsidR="00DC4E11" w14:paraId="386B25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C993D6D"/>
    <w:multiLevelType w:val="hybridMultilevel"/>
    <w:tmpl w:val="E7E037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B8F382C"/>
    <w:multiLevelType w:val="hybridMultilevel"/>
    <w:tmpl w:val="7F9268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0F42B8E"/>
    <w:multiLevelType w:val="hybridMultilevel"/>
    <w:tmpl w:val="AF84DD4C"/>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15:restartNumberingAfterBreak="1">
    <w:nsid w:val="315C54AB"/>
    <w:multiLevelType w:val="hybridMultilevel"/>
    <w:tmpl w:val="9056D1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94428EA"/>
    <w:multiLevelType w:val="hybridMultilevel"/>
    <w:tmpl w:val="29A4CA6C"/>
    <w:lvl w:ilvl="0">
      <w:start w:val="1"/>
      <w:numFmt w:val="decimal"/>
      <w:lvlText w:val="%1)"/>
      <w:lvlJc w:val="left"/>
      <w:pPr>
        <w:ind w:left="904" w:hanging="360"/>
      </w:pPr>
      <w:rPr>
        <w:rFonts w:hint="default"/>
      </w:rPr>
    </w:lvl>
    <w:lvl w:ilvl="1" w:tentative="1">
      <w:start w:val="1"/>
      <w:numFmt w:val="lowerLetter"/>
      <w:lvlText w:val="%2."/>
      <w:lvlJc w:val="left"/>
      <w:pPr>
        <w:ind w:left="1624" w:hanging="360"/>
      </w:pPr>
    </w:lvl>
    <w:lvl w:ilvl="2" w:tentative="1">
      <w:start w:val="1"/>
      <w:numFmt w:val="lowerRoman"/>
      <w:lvlText w:val="%3."/>
      <w:lvlJc w:val="right"/>
      <w:pPr>
        <w:ind w:left="2344" w:hanging="180"/>
      </w:pPr>
    </w:lvl>
    <w:lvl w:ilvl="3" w:tentative="1">
      <w:start w:val="1"/>
      <w:numFmt w:val="decimal"/>
      <w:lvlText w:val="%4."/>
      <w:lvlJc w:val="left"/>
      <w:pPr>
        <w:ind w:left="3064" w:hanging="360"/>
      </w:pPr>
    </w:lvl>
    <w:lvl w:ilvl="4" w:tentative="1">
      <w:start w:val="1"/>
      <w:numFmt w:val="lowerLetter"/>
      <w:lvlText w:val="%5."/>
      <w:lvlJc w:val="left"/>
      <w:pPr>
        <w:ind w:left="3784" w:hanging="360"/>
      </w:pPr>
    </w:lvl>
    <w:lvl w:ilvl="5" w:tentative="1">
      <w:start w:val="1"/>
      <w:numFmt w:val="lowerRoman"/>
      <w:lvlText w:val="%6."/>
      <w:lvlJc w:val="right"/>
      <w:pPr>
        <w:ind w:left="4504" w:hanging="180"/>
      </w:pPr>
    </w:lvl>
    <w:lvl w:ilvl="6" w:tentative="1">
      <w:start w:val="1"/>
      <w:numFmt w:val="decimal"/>
      <w:lvlText w:val="%7."/>
      <w:lvlJc w:val="left"/>
      <w:pPr>
        <w:ind w:left="5224" w:hanging="360"/>
      </w:pPr>
    </w:lvl>
    <w:lvl w:ilvl="7" w:tentative="1">
      <w:start w:val="1"/>
      <w:numFmt w:val="lowerLetter"/>
      <w:lvlText w:val="%8."/>
      <w:lvlJc w:val="left"/>
      <w:pPr>
        <w:ind w:left="5944" w:hanging="360"/>
      </w:pPr>
    </w:lvl>
    <w:lvl w:ilvl="8" w:tentative="1">
      <w:start w:val="1"/>
      <w:numFmt w:val="lowerRoman"/>
      <w:lvlText w:val="%9."/>
      <w:lvlJc w:val="right"/>
      <w:pPr>
        <w:ind w:left="6664" w:hanging="180"/>
      </w:pPr>
    </w:lvl>
  </w:abstractNum>
  <w:abstractNum w:abstractNumId="5" w15:restartNumberingAfterBreak="1">
    <w:nsid w:val="39D31D79"/>
    <w:multiLevelType w:val="hybridMultilevel"/>
    <w:tmpl w:val="D6F287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3E3B20DD"/>
    <w:multiLevelType w:val="hybridMultilevel"/>
    <w:tmpl w:val="7FDA3928"/>
    <w:lvl w:ilvl="0">
      <w:start w:val="1"/>
      <w:numFmt w:val="decimal"/>
      <w:lvlText w:val="%1)"/>
      <w:lvlJc w:val="left"/>
      <w:pPr>
        <w:ind w:left="904" w:hanging="360"/>
      </w:pPr>
      <w:rPr>
        <w:rFonts w:hint="default"/>
      </w:rPr>
    </w:lvl>
    <w:lvl w:ilvl="1" w:tentative="1">
      <w:start w:val="1"/>
      <w:numFmt w:val="lowerLetter"/>
      <w:lvlText w:val="%2."/>
      <w:lvlJc w:val="left"/>
      <w:pPr>
        <w:ind w:left="1624" w:hanging="360"/>
      </w:pPr>
    </w:lvl>
    <w:lvl w:ilvl="2" w:tentative="1">
      <w:start w:val="1"/>
      <w:numFmt w:val="lowerRoman"/>
      <w:lvlText w:val="%3."/>
      <w:lvlJc w:val="right"/>
      <w:pPr>
        <w:ind w:left="2344" w:hanging="180"/>
      </w:pPr>
    </w:lvl>
    <w:lvl w:ilvl="3" w:tentative="1">
      <w:start w:val="1"/>
      <w:numFmt w:val="decimal"/>
      <w:lvlText w:val="%4."/>
      <w:lvlJc w:val="left"/>
      <w:pPr>
        <w:ind w:left="3064" w:hanging="360"/>
      </w:pPr>
    </w:lvl>
    <w:lvl w:ilvl="4" w:tentative="1">
      <w:start w:val="1"/>
      <w:numFmt w:val="lowerLetter"/>
      <w:lvlText w:val="%5."/>
      <w:lvlJc w:val="left"/>
      <w:pPr>
        <w:ind w:left="3784" w:hanging="360"/>
      </w:pPr>
    </w:lvl>
    <w:lvl w:ilvl="5" w:tentative="1">
      <w:start w:val="1"/>
      <w:numFmt w:val="lowerRoman"/>
      <w:lvlText w:val="%6."/>
      <w:lvlJc w:val="right"/>
      <w:pPr>
        <w:ind w:left="4504" w:hanging="180"/>
      </w:pPr>
    </w:lvl>
    <w:lvl w:ilvl="6" w:tentative="1">
      <w:start w:val="1"/>
      <w:numFmt w:val="decimal"/>
      <w:lvlText w:val="%7."/>
      <w:lvlJc w:val="left"/>
      <w:pPr>
        <w:ind w:left="5224" w:hanging="360"/>
      </w:pPr>
    </w:lvl>
    <w:lvl w:ilvl="7" w:tentative="1">
      <w:start w:val="1"/>
      <w:numFmt w:val="lowerLetter"/>
      <w:lvlText w:val="%8."/>
      <w:lvlJc w:val="left"/>
      <w:pPr>
        <w:ind w:left="5944" w:hanging="360"/>
      </w:pPr>
    </w:lvl>
    <w:lvl w:ilvl="8" w:tentative="1">
      <w:start w:val="1"/>
      <w:numFmt w:val="lowerRoman"/>
      <w:lvlText w:val="%9."/>
      <w:lvlJc w:val="right"/>
      <w:pPr>
        <w:ind w:left="6664" w:hanging="180"/>
      </w:pPr>
    </w:lvl>
  </w:abstractNum>
  <w:abstractNum w:abstractNumId="7" w15:restartNumberingAfterBreak="1">
    <w:nsid w:val="44467BA5"/>
    <w:multiLevelType w:val="hybridMultilevel"/>
    <w:tmpl w:val="89B218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28F6CF1"/>
    <w:multiLevelType w:val="hybridMultilevel"/>
    <w:tmpl w:val="125CC1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648511D5"/>
    <w:multiLevelType w:val="hybridMultilevel"/>
    <w:tmpl w:val="D22EE1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7"/>
  </w:num>
  <w:num w:numId="6">
    <w:abstractNumId w:val="9"/>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426"/>
    <w:rsid w:val="00013013"/>
    <w:rsid w:val="00013850"/>
    <w:rsid w:val="00016532"/>
    <w:rsid w:val="00044AE3"/>
    <w:rsid w:val="00061A2B"/>
    <w:rsid w:val="00064101"/>
    <w:rsid w:val="000716F8"/>
    <w:rsid w:val="0007285D"/>
    <w:rsid w:val="00073B5D"/>
    <w:rsid w:val="00080B22"/>
    <w:rsid w:val="000827E1"/>
    <w:rsid w:val="00095D84"/>
    <w:rsid w:val="0009692F"/>
    <w:rsid w:val="000977B2"/>
    <w:rsid w:val="000A1276"/>
    <w:rsid w:val="000B4ECF"/>
    <w:rsid w:val="000C0750"/>
    <w:rsid w:val="000C3A62"/>
    <w:rsid w:val="000D7BEA"/>
    <w:rsid w:val="000E0E0F"/>
    <w:rsid w:val="000E544A"/>
    <w:rsid w:val="000F6ECD"/>
    <w:rsid w:val="00107A3C"/>
    <w:rsid w:val="001212C7"/>
    <w:rsid w:val="0012499A"/>
    <w:rsid w:val="00136397"/>
    <w:rsid w:val="00141B45"/>
    <w:rsid w:val="001470DB"/>
    <w:rsid w:val="00147272"/>
    <w:rsid w:val="0015360B"/>
    <w:rsid w:val="001561B1"/>
    <w:rsid w:val="00160601"/>
    <w:rsid w:val="0016772E"/>
    <w:rsid w:val="001725E3"/>
    <w:rsid w:val="001838FA"/>
    <w:rsid w:val="00186C12"/>
    <w:rsid w:val="00190134"/>
    <w:rsid w:val="001924B0"/>
    <w:rsid w:val="00194622"/>
    <w:rsid w:val="001968CC"/>
    <w:rsid w:val="00197437"/>
    <w:rsid w:val="001A44A7"/>
    <w:rsid w:val="001C2F9F"/>
    <w:rsid w:val="001C7039"/>
    <w:rsid w:val="001F25E9"/>
    <w:rsid w:val="001F417F"/>
    <w:rsid w:val="001F4937"/>
    <w:rsid w:val="00222910"/>
    <w:rsid w:val="00233C77"/>
    <w:rsid w:val="00233EE2"/>
    <w:rsid w:val="00242006"/>
    <w:rsid w:val="0024432F"/>
    <w:rsid w:val="00250051"/>
    <w:rsid w:val="00254DA2"/>
    <w:rsid w:val="00257ACC"/>
    <w:rsid w:val="002624DC"/>
    <w:rsid w:val="00276EF6"/>
    <w:rsid w:val="00277AF4"/>
    <w:rsid w:val="002925EF"/>
    <w:rsid w:val="002973B0"/>
    <w:rsid w:val="00297748"/>
    <w:rsid w:val="002A524E"/>
    <w:rsid w:val="002B0DD2"/>
    <w:rsid w:val="002B15D7"/>
    <w:rsid w:val="002B2526"/>
    <w:rsid w:val="002B4811"/>
    <w:rsid w:val="002B54B1"/>
    <w:rsid w:val="002C28C9"/>
    <w:rsid w:val="002D363B"/>
    <w:rsid w:val="002E0C5E"/>
    <w:rsid w:val="002E1145"/>
    <w:rsid w:val="002E1E15"/>
    <w:rsid w:val="002E553E"/>
    <w:rsid w:val="002F4E07"/>
    <w:rsid w:val="002F635E"/>
    <w:rsid w:val="00304F54"/>
    <w:rsid w:val="00315987"/>
    <w:rsid w:val="003167A9"/>
    <w:rsid w:val="0031736A"/>
    <w:rsid w:val="003222C8"/>
    <w:rsid w:val="0032645A"/>
    <w:rsid w:val="0033169C"/>
    <w:rsid w:val="00333796"/>
    <w:rsid w:val="00340631"/>
    <w:rsid w:val="00345BBE"/>
    <w:rsid w:val="003506D4"/>
    <w:rsid w:val="003647D9"/>
    <w:rsid w:val="00372469"/>
    <w:rsid w:val="00373B35"/>
    <w:rsid w:val="00386BCF"/>
    <w:rsid w:val="003A166B"/>
    <w:rsid w:val="003A21B8"/>
    <w:rsid w:val="003A3C65"/>
    <w:rsid w:val="003D0134"/>
    <w:rsid w:val="003D0AAF"/>
    <w:rsid w:val="003D0C57"/>
    <w:rsid w:val="003D4716"/>
    <w:rsid w:val="003D7616"/>
    <w:rsid w:val="003D7CB7"/>
    <w:rsid w:val="004029CF"/>
    <w:rsid w:val="004248D7"/>
    <w:rsid w:val="00430AA0"/>
    <w:rsid w:val="0043693B"/>
    <w:rsid w:val="004421D6"/>
    <w:rsid w:val="0048620F"/>
    <w:rsid w:val="0049307D"/>
    <w:rsid w:val="0049491E"/>
    <w:rsid w:val="00496A5E"/>
    <w:rsid w:val="00497FAC"/>
    <w:rsid w:val="004A1F8B"/>
    <w:rsid w:val="004C14EF"/>
    <w:rsid w:val="004C34E8"/>
    <w:rsid w:val="004C7158"/>
    <w:rsid w:val="004D0C3F"/>
    <w:rsid w:val="004E2E2A"/>
    <w:rsid w:val="005037C0"/>
    <w:rsid w:val="0051573C"/>
    <w:rsid w:val="005248D5"/>
    <w:rsid w:val="00535A32"/>
    <w:rsid w:val="00544914"/>
    <w:rsid w:val="00544C7C"/>
    <w:rsid w:val="005574ED"/>
    <w:rsid w:val="00562981"/>
    <w:rsid w:val="00564033"/>
    <w:rsid w:val="00566F01"/>
    <w:rsid w:val="00576387"/>
    <w:rsid w:val="00584751"/>
    <w:rsid w:val="00590D47"/>
    <w:rsid w:val="005919B9"/>
    <w:rsid w:val="00594358"/>
    <w:rsid w:val="0059593D"/>
    <w:rsid w:val="00595B12"/>
    <w:rsid w:val="005B28E5"/>
    <w:rsid w:val="005B61C6"/>
    <w:rsid w:val="005C4F7F"/>
    <w:rsid w:val="005D0738"/>
    <w:rsid w:val="005D28CA"/>
    <w:rsid w:val="005E1041"/>
    <w:rsid w:val="005E2E56"/>
    <w:rsid w:val="005F276C"/>
    <w:rsid w:val="00632A0E"/>
    <w:rsid w:val="00634316"/>
    <w:rsid w:val="00635790"/>
    <w:rsid w:val="00647D4F"/>
    <w:rsid w:val="00656403"/>
    <w:rsid w:val="00657CD8"/>
    <w:rsid w:val="006600F2"/>
    <w:rsid w:val="00661763"/>
    <w:rsid w:val="0066321A"/>
    <w:rsid w:val="00672624"/>
    <w:rsid w:val="00680D02"/>
    <w:rsid w:val="0069037C"/>
    <w:rsid w:val="006942BA"/>
    <w:rsid w:val="006A0E20"/>
    <w:rsid w:val="006A567C"/>
    <w:rsid w:val="006B19C6"/>
    <w:rsid w:val="006B742D"/>
    <w:rsid w:val="006C4C7A"/>
    <w:rsid w:val="006D2925"/>
    <w:rsid w:val="006E22EB"/>
    <w:rsid w:val="006E3759"/>
    <w:rsid w:val="006E704D"/>
    <w:rsid w:val="006F58BA"/>
    <w:rsid w:val="00700D74"/>
    <w:rsid w:val="00724AEF"/>
    <w:rsid w:val="00724C70"/>
    <w:rsid w:val="0072591A"/>
    <w:rsid w:val="00737785"/>
    <w:rsid w:val="0074255A"/>
    <w:rsid w:val="00747917"/>
    <w:rsid w:val="007543DA"/>
    <w:rsid w:val="00762048"/>
    <w:rsid w:val="00771490"/>
    <w:rsid w:val="00781412"/>
    <w:rsid w:val="00781F4E"/>
    <w:rsid w:val="007A1F00"/>
    <w:rsid w:val="007A6C3C"/>
    <w:rsid w:val="007B377A"/>
    <w:rsid w:val="007D009B"/>
    <w:rsid w:val="007E5631"/>
    <w:rsid w:val="0080008C"/>
    <w:rsid w:val="00805A56"/>
    <w:rsid w:val="008148F3"/>
    <w:rsid w:val="00814D20"/>
    <w:rsid w:val="00821908"/>
    <w:rsid w:val="00824088"/>
    <w:rsid w:val="0083396B"/>
    <w:rsid w:val="0084561F"/>
    <w:rsid w:val="008711E6"/>
    <w:rsid w:val="0088241E"/>
    <w:rsid w:val="008905DF"/>
    <w:rsid w:val="0089594F"/>
    <w:rsid w:val="008A3252"/>
    <w:rsid w:val="008A3F1C"/>
    <w:rsid w:val="008A4554"/>
    <w:rsid w:val="008B5F92"/>
    <w:rsid w:val="008E0093"/>
    <w:rsid w:val="008F0C7A"/>
    <w:rsid w:val="008F115C"/>
    <w:rsid w:val="008F3F0D"/>
    <w:rsid w:val="008F6369"/>
    <w:rsid w:val="009053F4"/>
    <w:rsid w:val="00912E12"/>
    <w:rsid w:val="00915441"/>
    <w:rsid w:val="0091700B"/>
    <w:rsid w:val="00920C81"/>
    <w:rsid w:val="00935AFD"/>
    <w:rsid w:val="00966568"/>
    <w:rsid w:val="00977598"/>
    <w:rsid w:val="00993DB9"/>
    <w:rsid w:val="009B0562"/>
    <w:rsid w:val="009B157B"/>
    <w:rsid w:val="009B2BDE"/>
    <w:rsid w:val="009C3FA7"/>
    <w:rsid w:val="009C5AD1"/>
    <w:rsid w:val="009D4818"/>
    <w:rsid w:val="009D4ECF"/>
    <w:rsid w:val="009E0DB1"/>
    <w:rsid w:val="009F2977"/>
    <w:rsid w:val="00A04176"/>
    <w:rsid w:val="00A060BB"/>
    <w:rsid w:val="00A2188A"/>
    <w:rsid w:val="00A4039E"/>
    <w:rsid w:val="00A445A7"/>
    <w:rsid w:val="00A46721"/>
    <w:rsid w:val="00A633F1"/>
    <w:rsid w:val="00A64038"/>
    <w:rsid w:val="00A66380"/>
    <w:rsid w:val="00A75F63"/>
    <w:rsid w:val="00A93FF3"/>
    <w:rsid w:val="00AB2B5D"/>
    <w:rsid w:val="00AD1AEF"/>
    <w:rsid w:val="00AD7588"/>
    <w:rsid w:val="00AE5100"/>
    <w:rsid w:val="00AF1884"/>
    <w:rsid w:val="00B0125C"/>
    <w:rsid w:val="00B06DAE"/>
    <w:rsid w:val="00B17784"/>
    <w:rsid w:val="00B2018E"/>
    <w:rsid w:val="00B2177B"/>
    <w:rsid w:val="00B37904"/>
    <w:rsid w:val="00B42320"/>
    <w:rsid w:val="00B428E1"/>
    <w:rsid w:val="00B44574"/>
    <w:rsid w:val="00B62FD5"/>
    <w:rsid w:val="00B71158"/>
    <w:rsid w:val="00B7341B"/>
    <w:rsid w:val="00B778A2"/>
    <w:rsid w:val="00B81B95"/>
    <w:rsid w:val="00B85D03"/>
    <w:rsid w:val="00B94112"/>
    <w:rsid w:val="00B97298"/>
    <w:rsid w:val="00BB5C95"/>
    <w:rsid w:val="00BC5306"/>
    <w:rsid w:val="00BC5565"/>
    <w:rsid w:val="00BD0026"/>
    <w:rsid w:val="00BD5588"/>
    <w:rsid w:val="00BD65D2"/>
    <w:rsid w:val="00BD744C"/>
    <w:rsid w:val="00BF4C8F"/>
    <w:rsid w:val="00C017B3"/>
    <w:rsid w:val="00C14DCC"/>
    <w:rsid w:val="00C202AC"/>
    <w:rsid w:val="00C24B93"/>
    <w:rsid w:val="00C26900"/>
    <w:rsid w:val="00C323E7"/>
    <w:rsid w:val="00C42CF1"/>
    <w:rsid w:val="00C47F50"/>
    <w:rsid w:val="00C502A6"/>
    <w:rsid w:val="00C558FD"/>
    <w:rsid w:val="00C60491"/>
    <w:rsid w:val="00C80BBF"/>
    <w:rsid w:val="00C81924"/>
    <w:rsid w:val="00C96DE0"/>
    <w:rsid w:val="00CA36B8"/>
    <w:rsid w:val="00CA4A0B"/>
    <w:rsid w:val="00CA6888"/>
    <w:rsid w:val="00CB23AD"/>
    <w:rsid w:val="00CB43E7"/>
    <w:rsid w:val="00CC4E58"/>
    <w:rsid w:val="00CC6A6A"/>
    <w:rsid w:val="00D13269"/>
    <w:rsid w:val="00D13F72"/>
    <w:rsid w:val="00D16C38"/>
    <w:rsid w:val="00D45D9A"/>
    <w:rsid w:val="00D646C6"/>
    <w:rsid w:val="00D8110F"/>
    <w:rsid w:val="00D87EDA"/>
    <w:rsid w:val="00D976EF"/>
    <w:rsid w:val="00DA05F5"/>
    <w:rsid w:val="00DA0D99"/>
    <w:rsid w:val="00DA5347"/>
    <w:rsid w:val="00DA70BA"/>
    <w:rsid w:val="00DB43F7"/>
    <w:rsid w:val="00DC4915"/>
    <w:rsid w:val="00DC4E11"/>
    <w:rsid w:val="00DD21E5"/>
    <w:rsid w:val="00DD6B59"/>
    <w:rsid w:val="00E10BB8"/>
    <w:rsid w:val="00E207B6"/>
    <w:rsid w:val="00E256A0"/>
    <w:rsid w:val="00E369CD"/>
    <w:rsid w:val="00E37F2F"/>
    <w:rsid w:val="00E41F14"/>
    <w:rsid w:val="00E434BE"/>
    <w:rsid w:val="00E44472"/>
    <w:rsid w:val="00E5165A"/>
    <w:rsid w:val="00E5292B"/>
    <w:rsid w:val="00E535DE"/>
    <w:rsid w:val="00E53FBF"/>
    <w:rsid w:val="00E6315A"/>
    <w:rsid w:val="00E742BF"/>
    <w:rsid w:val="00E8715E"/>
    <w:rsid w:val="00E8782E"/>
    <w:rsid w:val="00E87FCE"/>
    <w:rsid w:val="00EB4FE7"/>
    <w:rsid w:val="00EC319D"/>
    <w:rsid w:val="00EC333F"/>
    <w:rsid w:val="00EC6A06"/>
    <w:rsid w:val="00EF0B15"/>
    <w:rsid w:val="00EF358B"/>
    <w:rsid w:val="00EF70A3"/>
    <w:rsid w:val="00F02938"/>
    <w:rsid w:val="00F032EB"/>
    <w:rsid w:val="00F15D5B"/>
    <w:rsid w:val="00F179EA"/>
    <w:rsid w:val="00F25DC9"/>
    <w:rsid w:val="00F314F0"/>
    <w:rsid w:val="00F44996"/>
    <w:rsid w:val="00F528C2"/>
    <w:rsid w:val="00F6084A"/>
    <w:rsid w:val="00F613AA"/>
    <w:rsid w:val="00F7038D"/>
    <w:rsid w:val="00F93812"/>
    <w:rsid w:val="00F9432B"/>
    <w:rsid w:val="00FA0E85"/>
    <w:rsid w:val="00FB7AD5"/>
    <w:rsid w:val="00FD25E3"/>
    <w:rsid w:val="00FE3DE8"/>
    <w:rsid w:val="00FF58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34BDBAF-B148-48E7-A8E8-1E375EB8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hAnsi="Calibri" w:eastAsiaTheme="minorHAns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paragraph" w:styleId="NoSpacing">
    <w:name w:val="No Spacing"/>
    <w:uiPriority w:val="1"/>
    <w:qFormat/>
    <w:rsid w:val="004C34E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E402-AD96-486A-AE63-19FBD730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7035</Words>
  <Characters>4011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Informācijas thenoloģiju drošības likuma anotācija</vt:lpstr>
    </vt:vector>
  </TitlesOfParts>
  <Company>Aizsardzības ministrija</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thenoloģiju drošības likuma anotācija</dc:title>
  <dc:subject>Likumprojekta anotācija</dc:subject>
  <dc:creator>Zane.Belavska@mod.gov.lv</dc:creator>
  <dc:description>67335354, zane.belavska@mod.gov.lv</dc:description>
  <cp:lastModifiedBy>Irina Šamarina</cp:lastModifiedBy>
  <cp:revision>4</cp:revision>
  <cp:lastPrinted>2018-02-06T11:58:00Z</cp:lastPrinted>
  <dcterms:created xsi:type="dcterms:W3CDTF">2018-04-24T10:36:00Z</dcterms:created>
  <dcterms:modified xsi:type="dcterms:W3CDTF">2018-04-25T14:17:00Z</dcterms:modified>
</cp:coreProperties>
</file>